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E" w:rsidRPr="003054ED" w:rsidRDefault="0094252E" w:rsidP="003054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54ED">
        <w:rPr>
          <w:rFonts w:ascii="Times New Roman" w:hAnsi="Times New Roman"/>
          <w:b/>
          <w:sz w:val="28"/>
          <w:szCs w:val="28"/>
        </w:rPr>
        <w:t>ЧТО ТАКОЕ ВЗЯТКА</w:t>
      </w:r>
    </w:p>
    <w:p w:rsidR="0094252E" w:rsidRPr="003054ED" w:rsidRDefault="0094252E" w:rsidP="003054E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4252E" w:rsidRPr="003054ED" w:rsidRDefault="0094252E" w:rsidP="003054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4ED">
        <w:rPr>
          <w:rFonts w:ascii="Times New Roman" w:hAnsi="Times New Roman"/>
          <w:b/>
          <w:sz w:val="24"/>
          <w:szCs w:val="24"/>
        </w:rPr>
        <w:t>Уголовный кодекс Российской Федерации</w:t>
      </w:r>
      <w:r w:rsidRPr="003054ED">
        <w:rPr>
          <w:rFonts w:ascii="Times New Roman" w:hAnsi="Times New Roman"/>
          <w:sz w:val="24"/>
          <w:szCs w:val="24"/>
        </w:rPr>
        <w:t xml:space="preserve"> предусматривает два вида преступления, связанных с взяткой: </w:t>
      </w:r>
      <w:r w:rsidRPr="003054ED">
        <w:rPr>
          <w:rFonts w:ascii="Times New Roman" w:hAnsi="Times New Roman"/>
          <w:b/>
          <w:sz w:val="24"/>
          <w:szCs w:val="24"/>
        </w:rPr>
        <w:t>получение взятки</w:t>
      </w:r>
      <w:r w:rsidRPr="003054ED">
        <w:rPr>
          <w:rFonts w:ascii="Times New Roman" w:hAnsi="Times New Roman"/>
          <w:sz w:val="24"/>
          <w:szCs w:val="24"/>
        </w:rPr>
        <w:t xml:space="preserve"> (статья 290) и </w:t>
      </w:r>
      <w:r w:rsidRPr="003054ED">
        <w:rPr>
          <w:rFonts w:ascii="Times New Roman" w:hAnsi="Times New Roman"/>
          <w:b/>
          <w:sz w:val="24"/>
          <w:szCs w:val="24"/>
        </w:rPr>
        <w:t>дача взятки</w:t>
      </w:r>
      <w:r w:rsidR="003054ED" w:rsidRPr="003054ED">
        <w:rPr>
          <w:rFonts w:ascii="Times New Roman" w:hAnsi="Times New Roman"/>
          <w:sz w:val="24"/>
          <w:szCs w:val="24"/>
        </w:rPr>
        <w:t xml:space="preserve"> </w:t>
      </w:r>
      <w:r w:rsidRPr="003054ED">
        <w:rPr>
          <w:rFonts w:ascii="Times New Roman" w:hAnsi="Times New Roman"/>
          <w:sz w:val="24"/>
          <w:szCs w:val="24"/>
        </w:rPr>
        <w:t>(статья</w:t>
      </w:r>
      <w:r w:rsidR="007E61C9">
        <w:rPr>
          <w:rFonts w:ascii="Times New Roman" w:hAnsi="Times New Roman"/>
          <w:sz w:val="24"/>
          <w:szCs w:val="24"/>
        </w:rPr>
        <w:t xml:space="preserve"> </w:t>
      </w:r>
      <w:r w:rsidRPr="003054ED">
        <w:rPr>
          <w:rFonts w:ascii="Times New Roman" w:hAnsi="Times New Roman"/>
          <w:sz w:val="24"/>
          <w:szCs w:val="24"/>
        </w:rPr>
        <w:t>291).</w:t>
      </w:r>
    </w:p>
    <w:p w:rsidR="0094252E" w:rsidRPr="003054ED" w:rsidRDefault="0094252E" w:rsidP="003054E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4252E" w:rsidRPr="003054ED" w:rsidRDefault="0094252E" w:rsidP="003054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4ED">
        <w:rPr>
          <w:rFonts w:ascii="Times New Roman" w:hAnsi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="00BA706B">
        <w:rPr>
          <w:rFonts w:ascii="Times New Roman" w:hAnsi="Times New Roman"/>
          <w:sz w:val="24"/>
          <w:szCs w:val="24"/>
        </w:rPr>
        <w:t xml:space="preserve"> </w:t>
      </w:r>
      <w:r w:rsidRPr="003054ED">
        <w:rPr>
          <w:rFonts w:ascii="Times New Roman" w:hAnsi="Times New Roman"/>
          <w:sz w:val="24"/>
          <w:szCs w:val="24"/>
        </w:rPr>
        <w:t>(взяткополучатель) и тот, кто ее дает (взяткодатель).</w:t>
      </w:r>
    </w:p>
    <w:p w:rsidR="0094252E" w:rsidRPr="003054ED" w:rsidRDefault="0094252E" w:rsidP="003054E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4252E" w:rsidRPr="003054ED" w:rsidRDefault="0094252E" w:rsidP="003054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4ED">
        <w:rPr>
          <w:rFonts w:ascii="Times New Roman" w:hAnsi="Times New Roman"/>
          <w:b/>
          <w:sz w:val="24"/>
          <w:szCs w:val="24"/>
        </w:rPr>
        <w:t>Получение взятки</w:t>
      </w:r>
      <w:r w:rsidRPr="003054ED">
        <w:rPr>
          <w:rFonts w:ascii="Times New Roman" w:hAnsi="Times New Roman"/>
          <w:sz w:val="24"/>
          <w:szCs w:val="24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</w:t>
      </w:r>
    </w:p>
    <w:p w:rsidR="0094252E" w:rsidRPr="003054ED" w:rsidRDefault="0094252E" w:rsidP="003054E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4252E" w:rsidRPr="003054ED" w:rsidRDefault="0094252E" w:rsidP="003054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4ED">
        <w:rPr>
          <w:rFonts w:ascii="Times New Roman" w:hAnsi="Times New Roman"/>
          <w:b/>
          <w:sz w:val="24"/>
          <w:szCs w:val="24"/>
        </w:rPr>
        <w:t>Дача взятки</w:t>
      </w:r>
      <w:r w:rsidR="003054ED" w:rsidRPr="003054ED">
        <w:rPr>
          <w:rFonts w:ascii="Times New Roman" w:hAnsi="Times New Roman"/>
          <w:sz w:val="24"/>
          <w:szCs w:val="24"/>
        </w:rPr>
        <w:t xml:space="preserve"> </w:t>
      </w:r>
      <w:r w:rsidRPr="003054ED">
        <w:rPr>
          <w:rFonts w:ascii="Times New Roman" w:hAnsi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</w:t>
      </w:r>
      <w:r w:rsidR="0088020E">
        <w:rPr>
          <w:rFonts w:ascii="Times New Roman" w:hAnsi="Times New Roman"/>
          <w:sz w:val="24"/>
          <w:szCs w:val="24"/>
        </w:rPr>
        <w:t xml:space="preserve"> </w:t>
      </w:r>
      <w:r w:rsidRPr="003054ED">
        <w:rPr>
          <w:rFonts w:ascii="Times New Roman" w:hAnsi="Times New Roman"/>
          <w:sz w:val="24"/>
          <w:szCs w:val="24"/>
        </w:rPr>
        <w:t>(бездействия) либо предоставлению получению каких – либо преимуществ в пользу дающего, в том числе за общее покровительство или попустительство по службе.</w:t>
      </w:r>
    </w:p>
    <w:p w:rsidR="0094252E" w:rsidRPr="003054ED" w:rsidRDefault="0094252E" w:rsidP="003054E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4252E" w:rsidRPr="003054ED" w:rsidRDefault="00873E8A" w:rsidP="003054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3E8A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2pt;margin-top:13.6pt;width:63.75pt;height:30pt;flip:x;z-index:251655168" o:connectortype="straight">
            <v:stroke endarrow="block"/>
          </v:shape>
        </w:pict>
      </w:r>
      <w:r w:rsidRPr="00873E8A"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337.95pt;margin-top:13.6pt;width:54.75pt;height:30pt;z-index:251657216" o:connectortype="straight">
            <v:stroke endarrow="block"/>
          </v:shape>
        </w:pict>
      </w:r>
      <w:r w:rsidR="0094252E" w:rsidRPr="003054ED">
        <w:rPr>
          <w:rFonts w:ascii="Times New Roman" w:hAnsi="Times New Roman"/>
          <w:b/>
          <w:sz w:val="28"/>
          <w:szCs w:val="28"/>
        </w:rPr>
        <w:t>ВЗЯТКОЙ МОГУТ БЫТЬ:</w:t>
      </w:r>
    </w:p>
    <w:p w:rsidR="0094252E" w:rsidRDefault="00873E8A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258.95pt;margin-top:3.6pt;width:4.5pt;height:202.45pt;z-index:251659264" o:connectortype="straight">
            <v:stroke endarrow="block"/>
          </v:shape>
        </w:pict>
      </w:r>
    </w:p>
    <w:p w:rsidR="003054ED" w:rsidRDefault="00873E8A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-1.05pt;margin-top:15.2pt;width:249pt;height:147pt;z-index:251656192" arcsize="10923f">
            <v:textbox>
              <w:txbxContent>
                <w:p w:rsidR="003054ED" w:rsidRPr="003054ED" w:rsidRDefault="003054ED" w:rsidP="003054E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54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Предметы</w:t>
                  </w:r>
                </w:p>
                <w:p w:rsidR="003054ED" w:rsidRPr="003054ED" w:rsidRDefault="003054ED" w:rsidP="003054E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4ED">
                    <w:rPr>
                      <w:rFonts w:ascii="Times New Roman" w:hAnsi="Times New Roman"/>
                      <w:sz w:val="24"/>
                      <w:szCs w:val="24"/>
                    </w:rPr>
                    <w:t>деньги, в том числе валюта; банковские чеки или ценные бумаги; изделия из драгоценных металлов и камней, автомашины; продукты питания; видеотехника, приборы и другие товары; квартиры, дачи, загородные дома, гаражи земельные участки и другая недвижимость</w:t>
                  </w:r>
                </w:p>
              </w:txbxContent>
            </v:textbox>
          </v:roundrect>
        </w:pict>
      </w:r>
    </w:p>
    <w:p w:rsidR="003054ED" w:rsidRDefault="00873E8A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9" style="position:absolute;left:0;text-align:left;margin-left:271.2pt;margin-top:2.85pt;width:255pt;height:106.5pt;z-index:251658240" arcsize="10923f">
            <v:textbox>
              <w:txbxContent>
                <w:p w:rsidR="003054ED" w:rsidRPr="003054ED" w:rsidRDefault="003054ED" w:rsidP="003054E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54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Услуги и выгоды</w:t>
                  </w:r>
                </w:p>
                <w:p w:rsidR="003054ED" w:rsidRPr="003054ED" w:rsidRDefault="003054ED" w:rsidP="003054E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4ED">
                    <w:rPr>
                      <w:rFonts w:ascii="Times New Roman" w:hAnsi="Times New Roman"/>
                      <w:sz w:val="24"/>
                      <w:szCs w:val="24"/>
                    </w:rPr>
            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            </w:r>
                </w:p>
              </w:txbxContent>
            </v:textbox>
          </v:roundrect>
        </w:pict>
      </w: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873E8A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1" style="position:absolute;left:0;text-align:left;margin-left:-1.05pt;margin-top:12.9pt;width:536.25pt;height:116.95pt;z-index:251660288" arcsize="10923f">
            <v:textbox>
              <w:txbxContent>
                <w:p w:rsidR="003054ED" w:rsidRPr="003054ED" w:rsidRDefault="003054ED" w:rsidP="003054E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54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Завуалированная форма взятки</w:t>
                  </w:r>
                </w:p>
                <w:p w:rsidR="003054ED" w:rsidRPr="003054ED" w:rsidRDefault="003054ED" w:rsidP="003054E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054ED">
                    <w:rPr>
                      <w:rFonts w:ascii="Times New Roman" w:hAnsi="Times New Roman"/>
                      <w:sz w:val="24"/>
                      <w:szCs w:val="24"/>
                    </w:rPr>
                    <w:t>банковская ссуда в долг или под видом погашения несуществующего долга;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 или друзьям; получение льготного кредита; завышение гонораров за лекции, статьи и книги; преднамеренный проигрыш в карты; случайный выигрыш в казино;</w:t>
                  </w:r>
                  <w:proofErr w:type="gramEnd"/>
                  <w:r w:rsidRPr="00305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прощение долга; уменьшение арендной платы; увеличение процентных ставок по кредиту и т.д.</w:t>
                  </w:r>
                </w:p>
              </w:txbxContent>
            </v:textbox>
          </v:roundrect>
        </w:pict>
      </w:r>
    </w:p>
    <w:p w:rsidR="0094252E" w:rsidRDefault="0094252E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Pr="003054ED" w:rsidRDefault="003054ED" w:rsidP="003054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4ED" w:rsidRPr="006A7FBC" w:rsidRDefault="003054ED" w:rsidP="003054E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94252E" w:rsidRPr="006A7FBC" w:rsidRDefault="0094252E" w:rsidP="003054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7FBC">
        <w:rPr>
          <w:rFonts w:ascii="Times New Roman" w:hAnsi="Times New Roman"/>
          <w:b/>
          <w:sz w:val="24"/>
          <w:szCs w:val="24"/>
        </w:rPr>
        <w:t>КТО МОЖЕТ БЫТЬ ПРИВЛЕЧЕН К УГОЛОВНОЙ ОТВЕТСТВЕННОСТИ ЗА ПОЛУЧЕНИЕ ВЗЯТКИ?</w:t>
      </w:r>
    </w:p>
    <w:p w:rsidR="0094252E" w:rsidRPr="006A7FBC" w:rsidRDefault="0094252E" w:rsidP="006A7F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7FBC">
        <w:rPr>
          <w:rFonts w:ascii="Times New Roman" w:hAnsi="Times New Roman"/>
          <w:sz w:val="24"/>
          <w:szCs w:val="24"/>
        </w:rPr>
        <w:t>Взяткополучателем может быть признано только должностное лицо – представитель власт</w:t>
      </w:r>
      <w:r w:rsidR="006A7FBC" w:rsidRPr="006A7FBC">
        <w:rPr>
          <w:rFonts w:ascii="Times New Roman" w:hAnsi="Times New Roman"/>
          <w:sz w:val="24"/>
          <w:szCs w:val="24"/>
        </w:rPr>
        <w:t xml:space="preserve">и, выполняющий организационно- </w:t>
      </w:r>
      <w:r w:rsidRPr="006A7FBC">
        <w:rPr>
          <w:rFonts w:ascii="Times New Roman" w:hAnsi="Times New Roman"/>
          <w:sz w:val="24"/>
          <w:szCs w:val="24"/>
        </w:rPr>
        <w:t>распорядительные или административно хозяйственные функции.</w:t>
      </w:r>
    </w:p>
    <w:p w:rsidR="0094252E" w:rsidRPr="006A7FBC" w:rsidRDefault="0094252E" w:rsidP="003054E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4252E" w:rsidRPr="006A7FBC" w:rsidRDefault="0094252E" w:rsidP="006A7F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7FBC">
        <w:rPr>
          <w:rFonts w:ascii="Times New Roman" w:hAnsi="Times New Roman"/>
          <w:sz w:val="24"/>
          <w:szCs w:val="24"/>
        </w:rPr>
        <w:t>Представитель власти –</w:t>
      </w:r>
      <w:r w:rsidR="003054ED" w:rsidRPr="006A7FBC">
        <w:rPr>
          <w:rFonts w:ascii="Times New Roman" w:hAnsi="Times New Roman"/>
          <w:sz w:val="24"/>
          <w:szCs w:val="24"/>
        </w:rPr>
        <w:t xml:space="preserve"> </w:t>
      </w:r>
      <w:r w:rsidRPr="006A7FBC">
        <w:rPr>
          <w:rFonts w:ascii="Times New Roman" w:hAnsi="Times New Roman"/>
          <w:sz w:val="24"/>
          <w:szCs w:val="24"/>
        </w:rPr>
        <w:t>это государственный или муниципальный чиновник любого ранга</w:t>
      </w:r>
      <w:r w:rsidR="006A7FBC">
        <w:rPr>
          <w:rFonts w:ascii="Times New Roman" w:hAnsi="Times New Roman"/>
          <w:sz w:val="24"/>
          <w:szCs w:val="24"/>
        </w:rPr>
        <w:t>,</w:t>
      </w:r>
      <w:r w:rsidRPr="006A7FBC">
        <w:rPr>
          <w:rFonts w:ascii="Times New Roman" w:hAnsi="Times New Roman"/>
          <w:sz w:val="24"/>
          <w:szCs w:val="24"/>
        </w:rPr>
        <w:t xml:space="preserve"> сотрудник областной или </w:t>
      </w:r>
      <w:r w:rsidR="006A7FBC" w:rsidRPr="006A7FBC">
        <w:rPr>
          <w:rFonts w:ascii="Times New Roman" w:hAnsi="Times New Roman"/>
          <w:sz w:val="24"/>
          <w:szCs w:val="24"/>
        </w:rPr>
        <w:t>городской администрации, мэрии,</w:t>
      </w:r>
      <w:r w:rsidRPr="006A7FBC">
        <w:rPr>
          <w:rFonts w:ascii="Times New Roman" w:hAnsi="Times New Roman"/>
          <w:sz w:val="24"/>
          <w:szCs w:val="24"/>
        </w:rPr>
        <w:t xml:space="preserve">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94252E" w:rsidRPr="006A7FBC" w:rsidRDefault="0094252E" w:rsidP="003054E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4252E" w:rsidRDefault="0094252E" w:rsidP="006A7F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7FBC">
        <w:rPr>
          <w:rFonts w:ascii="Times New Roman" w:hAnsi="Times New Roman"/>
          <w:sz w:val="24"/>
          <w:szCs w:val="24"/>
        </w:rPr>
        <w:t>Лицо, выполняющее организационно – распорядительные или административно хозяйственн</w:t>
      </w:r>
      <w:r w:rsidR="006A7FBC" w:rsidRPr="006A7FBC">
        <w:rPr>
          <w:rFonts w:ascii="Times New Roman" w:hAnsi="Times New Roman"/>
          <w:sz w:val="24"/>
          <w:szCs w:val="24"/>
        </w:rPr>
        <w:t>ые функции</w:t>
      </w:r>
      <w:r w:rsidRPr="006A7FBC">
        <w:rPr>
          <w:rFonts w:ascii="Times New Roman" w:hAnsi="Times New Roman"/>
          <w:sz w:val="24"/>
          <w:szCs w:val="24"/>
        </w:rPr>
        <w:t xml:space="preserve"> - это начальник финансового и хозяйственного подразделения государственного и муниципального органа, </w:t>
      </w:r>
      <w:proofErr w:type="spellStart"/>
      <w:r w:rsidRPr="006A7FBC">
        <w:rPr>
          <w:rFonts w:ascii="Times New Roman" w:hAnsi="Times New Roman"/>
          <w:sz w:val="24"/>
          <w:szCs w:val="24"/>
        </w:rPr>
        <w:t>ЖЭКа</w:t>
      </w:r>
      <w:proofErr w:type="spellEnd"/>
      <w:r w:rsidRPr="006A7FBC">
        <w:rPr>
          <w:rFonts w:ascii="Times New Roman" w:hAnsi="Times New Roman"/>
          <w:sz w:val="24"/>
          <w:szCs w:val="24"/>
        </w:rPr>
        <w:t xml:space="preserve">, РЭУ, член государственной экспертной, призывной или экзаменационной комиссии, директор или завуч школы, ректор ВУЗа и декан факультете, главврач </w:t>
      </w:r>
      <w:r w:rsidR="006A7FBC">
        <w:rPr>
          <w:rFonts w:ascii="Times New Roman" w:hAnsi="Times New Roman"/>
          <w:sz w:val="24"/>
          <w:szCs w:val="24"/>
        </w:rPr>
        <w:t>больницы или поликлиники и т.д.</w:t>
      </w:r>
    </w:p>
    <w:sectPr w:rsidR="0094252E" w:rsidSect="006A7FBC">
      <w:pgSz w:w="11906" w:h="16838"/>
      <w:pgMar w:top="624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52E"/>
    <w:rsid w:val="00070EFF"/>
    <w:rsid w:val="00103A01"/>
    <w:rsid w:val="00142712"/>
    <w:rsid w:val="00172996"/>
    <w:rsid w:val="003054ED"/>
    <w:rsid w:val="006A7FBC"/>
    <w:rsid w:val="007E61C9"/>
    <w:rsid w:val="00873E8A"/>
    <w:rsid w:val="0088020E"/>
    <w:rsid w:val="0094252E"/>
    <w:rsid w:val="00A70FF4"/>
    <w:rsid w:val="00BA706B"/>
    <w:rsid w:val="00C17689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4E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A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ЕАО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obr_203</dc:creator>
  <cp:lastModifiedBy>Uzer</cp:lastModifiedBy>
  <cp:revision>2</cp:revision>
  <cp:lastPrinted>2013-08-29T04:17:00Z</cp:lastPrinted>
  <dcterms:created xsi:type="dcterms:W3CDTF">2021-10-15T00:51:00Z</dcterms:created>
  <dcterms:modified xsi:type="dcterms:W3CDTF">2021-10-15T00:51:00Z</dcterms:modified>
</cp:coreProperties>
</file>