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5FB0" w:rsidRPr="00763383" w:rsidRDefault="00763383" w:rsidP="00763383">
      <w:pPr>
        <w:spacing w:after="0" w:line="288" w:lineRule="atLeast"/>
        <w:jc w:val="center"/>
        <w:rPr>
          <w:rFonts w:ascii="Times New Roman" w:eastAsia="Times New Roman" w:hAnsi="Times New Roman" w:cs="Times New Roman"/>
          <w:b/>
          <w:bCs/>
          <w:sz w:val="40"/>
          <w:szCs w:val="40"/>
          <w:u w:val="single"/>
          <w:lang w:eastAsia="ru-RU"/>
        </w:rPr>
      </w:pPr>
      <w:r w:rsidRPr="00763383">
        <w:rPr>
          <w:rFonts w:ascii="Times New Roman" w:eastAsia="Times New Roman" w:hAnsi="Times New Roman" w:cs="Times New Roman"/>
          <w:b/>
          <w:bCs/>
          <w:sz w:val="40"/>
          <w:szCs w:val="40"/>
          <w:u w:val="single"/>
          <w:lang w:eastAsia="ru-RU"/>
        </w:rPr>
        <w:t>«Прокурор г</w:t>
      </w:r>
      <w:proofErr w:type="gramStart"/>
      <w:r w:rsidRPr="00763383">
        <w:rPr>
          <w:rFonts w:ascii="Times New Roman" w:eastAsia="Times New Roman" w:hAnsi="Times New Roman" w:cs="Times New Roman"/>
          <w:b/>
          <w:bCs/>
          <w:sz w:val="40"/>
          <w:szCs w:val="40"/>
          <w:u w:val="single"/>
          <w:lang w:eastAsia="ru-RU"/>
        </w:rPr>
        <w:t>.Б</w:t>
      </w:r>
      <w:proofErr w:type="gramEnd"/>
      <w:r w:rsidRPr="00763383">
        <w:rPr>
          <w:rFonts w:ascii="Times New Roman" w:eastAsia="Times New Roman" w:hAnsi="Times New Roman" w:cs="Times New Roman"/>
          <w:b/>
          <w:bCs/>
          <w:sz w:val="40"/>
          <w:szCs w:val="40"/>
          <w:u w:val="single"/>
          <w:lang w:eastAsia="ru-RU"/>
        </w:rPr>
        <w:t>иробиджана разъясняет»</w:t>
      </w:r>
    </w:p>
    <w:p w:rsidR="00763383" w:rsidRDefault="00763383" w:rsidP="00763383">
      <w:pPr>
        <w:spacing w:after="0" w:line="288" w:lineRule="atLeast"/>
        <w:jc w:val="center"/>
        <w:rPr>
          <w:rFonts w:ascii="Times New Roman" w:eastAsia="Times New Roman" w:hAnsi="Times New Roman" w:cs="Times New Roman"/>
          <w:b/>
          <w:bCs/>
          <w:sz w:val="24"/>
          <w:szCs w:val="24"/>
          <w:lang w:eastAsia="ru-RU"/>
        </w:rPr>
      </w:pPr>
    </w:p>
    <w:p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С 1 апреля 2025 года ограничения на перевод средств за рубеж продлеваются еще на полгода - до 30 сентября 2025 года включительно</w:t>
      </w:r>
      <w:r w:rsidRPr="00995FB0">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Граждане России и физлица-нерезиденты из дружественных стран по-прежнему смогут в течение месяца перевести на любые счета в зарубежных банках не более 1 млн долларов США или эквивалент в другой иностранной валюте.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Сохраняются лимиты на перечисления через системы денежных переводов - за месяц не более 10 тыс. долларов США или эквивалент в другой иностранной валюте.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Сообщается, что физлица-нерезиденты, которые работают в России, могут перевести за рубеж средства в размере заработной платы. Это право есть у представителей как дружественных, так и недружественных стран. </w:t>
      </w:r>
    </w:p>
    <w:p w:rsidR="00995FB0" w:rsidRPr="00995FB0" w:rsidRDefault="00995FB0" w:rsidP="00995FB0">
      <w:pPr>
        <w:pStyle w:val="a4"/>
        <w:numPr>
          <w:ilvl w:val="0"/>
          <w:numId w:val="1"/>
        </w:num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Подписан новый закон о системе местного самоуправления в РФ</w:t>
      </w:r>
      <w:r w:rsidRPr="00995FB0">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В частности, закон уточняет понятие местного самоуправления, определяя его как признаваемую и гарантированную Конституцией РФ форму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 пределах предусмотренных полномочий.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Закреплена одноуровневая система организации местного самоуправления и установлены следующие виды муниципальных образований, в которых оно осуществляется: городской округ; муниципальный округ; внутригородское муниципальное образование города федерального значения. Субъекты РФ, имеющие социально-экономические, исторические и иные особенности, могут сохранить двухуровневую систему организации местного самоуправления (поселения (сельские и городские) и муниципальные районы).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Установлены полномочия органов местного самоуправления по решению вопросов непосредственного обеспечения жизнедеятельности населения, не подлежащие перераспределению между органами местного самоуправления и органами государственной власти субъекта РФ (принятие устава муниципального образования, утверждение и исполнение местного бюджета, установление, введение в действие и прекращение действия ранее введенных местных налогов и сборов и пр.), полномочия, которые могут быть перераспределены законом субъекта РФ для осуществления органами государственной власти субъекта РФ (организация в границах муниципального образования электро-, тепло-, газо- и водоснабжения населения, обеспечение проживающих в муниципальном образовании и нуждающихся в жилых помещениях малоимущих граждан жилыми помещениями, организация предоставления общедоступного и бесплатного дошкольного, начального общего, основного общего, среднего общего образования в муниципальных образовательных организациях и пр.), а также полномочия, которые могут быть перераспределены законом субъекта РФ для осуществления органами местного самоуправления (дорожная деятельность, организация транспортного обслуживания населения в границах муниципального образования, осуществление мероприятий по лесоустройству, осуществление мероприятий по обеспечению безопасности людей на водных объектах, организация и осуществление мероприятий по территориальной обороне и гражданской обороне и пр.).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lastRenderedPageBreak/>
        <w:t xml:space="preserve">Также закреплен единый пятилетний срок полномочий лиц, замещающих муниципальные должности.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Федеральный закон вступает в силу по истечении девяноста дней после дня его официального опубликования, за исключением его отдельных положений.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Дополнен перечень полномочий, осуществляемых Минобороны России</w:t>
      </w:r>
      <w:r w:rsidRPr="00995FB0">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Установлено, что Министерство, в числе прочего, определяет порядок боевого применения и обеспечения безопасности применения в Российской Федерации системы и средств государственного радиолокационного опознавания.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Находящиеся в РФ граждане Украины, не имеющие законных оснований для пребывания (проживания) в РФ, обязаны самостоятельно выехать из нее либо до 10 сентября 2025 г. включительно урегулировать свое правовое положение в РФ</w:t>
      </w:r>
      <w:r w:rsidRPr="00995FB0">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Кроме того, иностранные граждане и лица без гражданства, которые прибыли до дня вступления в силу настоящего Указа на территории ДНР, ЛНР, Запорожской и Херсонской областей в целях, не связанных с осуществлением трудовой деятельности, на срок, превышающий 90 календарных дней, либо в целях осуществления трудовой деятельности и не прошли медицинское освидетельствование на наличие или отсутствие факта употребления наркотических средств или психотропных веществ без назначения врача либо новых потенциально опасных психоактивных веществ, инфекционных заболеваний, представляющих опасность для окружающих, и заболевания, вызываемого вирусом иммунодефицита человека (ВИЧ-инфекции), обязаны до 10 июня 2025 г. включительно пройти медицинское освидетельствование и представить в территориальный орган МВД России медицинские документы, подтверждающие отсутствие факта употребления наркотических средств или психотропных веществ без назначения врача либо новых потенциально опасных психоактивных веществ, отсутствие названных инфекционных заболеваний, и сертификат об отсутствии заболевания, вызываемого вирусом иммунодефицита человека (ВИЧ-инфекции).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КС РФ: руководитель регионального отделения политической партии, избранный в установленном порядке, вправе подписать документы о выдвижении списка кандидатов на выборах до внесения в ЕГРЮЛ сведений о нем как о лице, имеющем право без доверенности действовать от имени юрлица</w:t>
      </w:r>
      <w:r w:rsidRPr="00995FB0">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tblPr>
      <w:tblGrid>
        <w:gridCol w:w="330"/>
        <w:gridCol w:w="9025"/>
      </w:tblGrid>
      <w:tr w:rsidR="00995FB0" w:rsidRPr="00995FB0" w:rsidTr="00995FB0">
        <w:tc>
          <w:tcPr>
            <w:tcW w:w="180" w:type="dxa"/>
            <w:tcMar>
              <w:top w:w="0" w:type="dxa"/>
              <w:left w:w="0" w:type="dxa"/>
              <w:bottom w:w="0" w:type="dxa"/>
              <w:right w:w="150" w:type="dxa"/>
            </w:tcMar>
            <w:hideMark/>
          </w:tcPr>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noProof/>
                <w:lang w:eastAsia="ru-RU"/>
              </w:rPr>
              <w:drawing>
                <wp:inline distT="0" distB="0" distL="0" distR="0">
                  <wp:extent cx="114300" cy="142875"/>
                  <wp:effectExtent l="0" t="0" r="0" b="9525"/>
                  <wp:docPr id="304" name="Рисунок 304" descr="C:\Users\Neshchetnaia.A.V\AppData\Local\Microsoft\Windows\INetCache\Content.MSO\949C5E0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C:\Users\Neshchetnaia.A.V\AppData\Local\Microsoft\Windows\INetCache\Content.MSO\949C5E09.tmp"/>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rsidR="00995FB0" w:rsidRPr="00995FB0" w:rsidRDefault="00995FB0" w:rsidP="00995FB0">
            <w:pPr>
              <w:spacing w:after="0" w:line="288" w:lineRule="atLeast"/>
              <w:rPr>
                <w:rFonts w:ascii="Times New Roman" w:eastAsia="Times New Roman" w:hAnsi="Times New Roman" w:cs="Times New Roman"/>
                <w:sz w:val="21"/>
                <w:szCs w:val="21"/>
                <w:lang w:eastAsia="ru-RU"/>
              </w:rPr>
            </w:pPr>
            <w:r w:rsidRPr="00995FB0">
              <w:rPr>
                <w:rFonts w:ascii="Times New Roman" w:eastAsia="Times New Roman" w:hAnsi="Times New Roman" w:cs="Times New Roman"/>
                <w:sz w:val="21"/>
                <w:szCs w:val="21"/>
                <w:lang w:eastAsia="ru-RU"/>
              </w:rPr>
              <w:t>Постановление Конституционного Суда РФ от 18.03.2025 N 12-П</w:t>
            </w:r>
            <w:r w:rsidRPr="00995FB0">
              <w:rPr>
                <w:rFonts w:ascii="Times New Roman" w:eastAsia="Times New Roman" w:hAnsi="Times New Roman" w:cs="Times New Roman"/>
                <w:sz w:val="21"/>
                <w:szCs w:val="21"/>
                <w:lang w:eastAsia="ru-RU"/>
              </w:rPr>
              <w:br/>
              <w:t xml:space="preserve">"По делу о проверке конституционности положений пункта 4 статьи 23 Федерального закона "О некоммерческих организациях", пункта 5 статьи 27 Федерального закона "О политических партиях", подпункта "л" пункта 1 статьи 5 Федерального закона "О государственной регистрации юридических лиц и индивидуальных предпринимателей", подпункта "б" пункта 25 статьи 38 Федерального закона "Об основных гарантиях избирательных прав и права на участие в референдуме граждан Российской Федерации" и подпункта "б" пункта 9 статьи 36 Избирательного кодекса Псковской области в связи с жалобой Псковского регионального отделения политической партии "Российская объединенная демократическая партия "ЯБЛОКО" </w:t>
            </w:r>
          </w:p>
        </w:tc>
      </w:tr>
    </w:tbl>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Выявлен конституционно-правовой смысл положений пункта 4 статьи 23 Федерального закона "О некоммерческих организациях", пункта 5 статьи 27 Федерального закона "О </w:t>
      </w:r>
      <w:r w:rsidRPr="00995FB0">
        <w:rPr>
          <w:rFonts w:ascii="Times New Roman" w:eastAsia="Times New Roman" w:hAnsi="Times New Roman" w:cs="Times New Roman"/>
          <w:sz w:val="24"/>
          <w:szCs w:val="24"/>
          <w:lang w:eastAsia="ru-RU"/>
        </w:rPr>
        <w:lastRenderedPageBreak/>
        <w:t xml:space="preserve">политических партиях", подпункта "л" пункта 1 статьи 5 Федерального закона "О государственной регистрации юридических лиц и индивидуальных предпринимателей", подпункта "б" пункта 25 статьи 38 Федерального закона "Об основных гарантиях избирательных прав и права на участие в референдуме граждан Российской Федерации" и подпункта "б" пункта 9 статьи 36 Избирательного кодекса Псковской области.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Конституционным Судом отмечено, в частности, следующее: несмотря на то что государственная регистрация в качестве юридического лица является обязательным условием законного существования регионального отделения политической партии, это не может свидетельствовать о распространении на него юридических последствий такой регистрации (актуализации сведений о нем) в публично-правовой сфере, в том числе в правоотношениях, в которых оно выступает в качестве избирательного объединения. Правовое регулирование государственной регистрации юридических лиц рассчитано в основном на применение в отношении лиц, действующих в области имущественных отношений гражданско-правового характера. Этот признак не имеет такого же определяющего значения для юридических лиц - региональных отделений политических партий, которые осуществляют экономическую деятельность лишь постольку, поскольку это отвечает достижению целей, ради которых они создаются.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Особенности как самих политических партий, так и их региональных отделений, признанных законом избирательными объединениями, позволяющие отграничить их от юридических лиц иных видов, обусловливают необходимость истолкования оспариваемых норм преимущественно в контексте федеральных законов "О политических партиях" и "Об основных гарантиях избирательных прав и права на участие в референдуме граждан Российской Федерации". Таким образом, на структурные подразделения политических партий, не зарегистрированные в ЕГРЮЛ, но имеющие в соответствии с федеральным законом право участвовать в выборах, при уведомлении соответствующей избирательной комиссии о выдвижении ими кандидатов, списков кандидатов действие оспариваемых законоположений автоматически не распространяется.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Конституционный Суд пришел к выводу, что оспариваемые законоположения не могут быть истолкованы как отождествляющие электоральные возможности регионального отделения политической партии с правами и обязанностями, вытекающими из статуса юридического лица. Они не противоречат Конституции РФ в той мере, в какой не препятствуют избранному в установленном порядке руководителю регионального отделения политической партии, обладающего статусом избирательного объединения, подписывать (заверять) представляемые в соответствующие избирательные комиссии документы, связанные с выдвижением списков кандидатов на выборах, до внесения в ЕГРЮЛ сведений о нем как о лице, имеющем право без доверенности действовать от имени юридического лица.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В противном случае зарегистрированные в соответствии со статьей 15 Федерального закона "О политических партиях" региональные отделения политических партий, равно как и избранные в установленном порядке их руководители, оказались бы по сугубо формальным, не имеющим разумного оправдания, причинам отстранены от участия в выборах.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Скорректирован порядок управления средствами Фонда национального благосостояния</w:t>
      </w:r>
      <w:r w:rsidRPr="00995FB0">
        <w:rPr>
          <w:rFonts w:ascii="Times New Roman" w:eastAsia="Times New Roman" w:hAnsi="Times New Roman" w:cs="Times New Roman"/>
          <w:sz w:val="24"/>
          <w:szCs w:val="24"/>
          <w:lang w:eastAsia="ru-RU"/>
        </w:rPr>
        <w:t xml:space="preserve"> </w:t>
      </w:r>
    </w:p>
    <w:p w:rsidR="00995FB0" w:rsidRPr="00D60B2D" w:rsidRDefault="00995FB0" w:rsidP="00D60B2D">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lastRenderedPageBreak/>
        <w:t> </w:t>
      </w:r>
      <w:r w:rsidRPr="00995FB0">
        <w:rPr>
          <w:rFonts w:ascii="Times New Roman" w:eastAsia="Times New Roman" w:hAnsi="Times New Roman" w:cs="Times New Roman"/>
          <w:sz w:val="24"/>
          <w:szCs w:val="24"/>
          <w:lang w:eastAsia="ru-RU"/>
        </w:rPr>
        <w:t xml:space="preserve">Согласно внесенному уточнению средства Фонда национального благосостояния размещаются на субординированные депозиты в российских кредитных организациях на основании отдельных решений Правительства РФ.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Также отдельными решениями Правительства РФ устанавливаются доходность и иные существенные условия размещения средств на субординированных депозитах, условия начисления и уплаты процентов по указанным депозитам, а также условия возврата средств ФНБ.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Кроме того, внесены изменения в условия размещения средств ФНБ на субординированных депозитах, в том числе исключены положения о возможности размещения средств в иностранных валютах, ранее предусмотренных постановлением.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Также утратили силу отдельные положения, предусматривающие избыточные процедуры.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Установлены порядок и условия принятия решений о предоставлении организациям права пользования участками недр, расположенными на территориях новых субъектов РФ, без проведения аукционов, а также особенности предоставления такого права</w:t>
      </w:r>
      <w:r w:rsidRPr="00995FB0">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Заявитель для получения права пользования участком недр подает в уполномоченный орган заявку с приложением к ней документов и сведений согласно установленному перечню.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Основанием предоставления заявителям права пользования участками недр является решение, принятое: комиссией, создаваемой Федеральным агентством по недропользованию или его территориальным органом, в отношении участков недр, не являющихся участками недр местного значения; комиссией, создаваемой органами государственной власти субъектов РФ, в отношении участков недр местного значения.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Заседания комиссий проводятся очно и (или) посредством использования видео-конференц-связи.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В предоставлении права пользования участком недр может быть отказано по следующим основаниям: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заявитель не представил доказательств того, что обладает или будет обладать квалифицированными специалистами, необходимыми финансовыми и техническими средствами для эффективного и безопасного осуществления пользования недрами;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при предоставлении заявителю права пользования участком недр не будут соблюдены антимонопольные требования;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сведения о заявителе содержатся в реестре недобросовестных участников аукционов на право пользования участками недр;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при предоставлении заявителю права пользования участком недр будут нарушены положения пункта 2 настоящих Правил.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Дополнен перечень услуг, предоставление которых может быть организовано в МФЦ</w:t>
      </w:r>
      <w:r w:rsidRPr="00995FB0">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lastRenderedPageBreak/>
        <w:t xml:space="preserve">Предусмотрено, что в МФЦ на безвозмездной основе может предоставляться услуга по приему заявлений на выдачу квалифицированных сертификатов ключей проверки электронных подписей, создание и использование которых осуществляется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а также по вручению указанных сертификатов с осуществлением идентификации заявителя при его личном присутствии.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Актуализированы Правила ведения специального учета юридических лиц, индивидуальных предпринимателей и художников-ювелиров, осуществляющих операции с драгоценными металлами и драгоценными камнями</w:t>
      </w:r>
      <w:r w:rsidRPr="00995FB0">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Правила приведены в соответствие с положениями Федерального закона от 28 декабря 2024 года N 522-ФЗ, которым в сферу законодательства о противодействии легализации (отмыванию) доходов, полученных преступным путем, и финансированию терроризма включено направление, связанное с противодействием финансированию экстремистской деятельности.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Определены критерии оценки эффективности и результативности проведения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w:t>
      </w:r>
      <w:r w:rsidRPr="00995FB0">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Такими критериями являются: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количество участников эксперимента, фактически осуществляющих деятельность по партнерскому финансированию;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объем привлеченных участниками эксперимента денежных средств в рамках деятельности по партнерскому финансированию;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количество совершенных участниками эксперимента сделок (операций) по привлечению денежных средств;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объем средств, размещенных участниками эксперимента, а также количество таких сделок;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объем денежных средств, привлеченных участниками эксперимента от лиц, являющихся нерезидентами, а также количество таких сделок.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Дополнен перечень полномочий, осуществляемых Федеральным казначейством в установленной сфере деятельности</w:t>
      </w:r>
      <w:r w:rsidRPr="00995FB0">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Установлено, что Казначейство России осуществляет, в числе прочего, автоматизированный мониторинг цен в государственной интегрированной информационной системе управления общественными финансами "Электронный бюджет" в отношении государственных контрактов на поставку вооружения, военной и специальной техники, заключенных Минобороны России, а также контрактов, заключенных в целях исполнения указанных государственных контрактов, с соблюдением требований законодательства РФ о государственной тайне.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lastRenderedPageBreak/>
        <w:t xml:space="preserve">  </w:t>
      </w:r>
    </w:p>
    <w:p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Дополнены полномочия Минфина в части сохранения и укрепления традиционных российских духовно-нравственных ценностей</w:t>
      </w:r>
      <w:r w:rsidRPr="00995FB0">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Закреплено, что Минфин осуществляет мероприятия по обеспечению соответствия своей деятельности целям и задачам государственной политики по сохранению и укреплению традиционных российских духовно-нравственных ценностей.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Установлен порядок предоставления государственной услуги по информированию застрахованных лиц о предполагаемом размере страховой пенсии по старости и о суммах средств пенсионных накоплений</w:t>
      </w:r>
      <w:r w:rsidRPr="00995FB0">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Услуга предоставляется Фондом пенсионного и социального страхования РФ застрахованным лицам, достигшим возраста 45 и 40 лет (соответственно мужчины и женщины), не являющимся получателями страховой пенсии по старости, в том числе назначенной досрочно, страховой пенсии по инвалидности, пенсии по старости, установленной в соответствии с Законом РФ от 15 мая 1991 г. N 1244-1 "О социальной защите граждан, подвергшихся воздействию радиации вследствие катастрофы на Чернобыльской АЭС", пенсии, назначенной в соответствии с Федеральным законом от 12 декабря 2023 г. N 565-ФЗ "О занятости населения в Российской Федерации", а также не являющимся получателями выплат за счет средств пенсионных накоплений, не зарегистрированным в ЕСИА.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Максимальный срок предоставления услуги составляет 3 рабочих дня со дня регистрации в территориальном органе СФР запроса о размере пенсии, запроса о суммах средств и необходимых документов, направленных заявителем посредством почтовой связи. При подаче заявителем запроса в территориальный орган СФР, услуга предоставляется в режиме реального времени в день регистрации запроса.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Результаты предоставления услуги могут быть получены в территориальном органе СФР или посредством почтовой связи.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Взимание государственной пошлины или иной платы за предоставление услуги не предусмотрено.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Актуализирован перечень нормативных правовых актов, содержащих обязательные требования, оценка соблюдения которых осуществляется Ространснадзором в рамках государственного контроля (надзора), привлечения к административной ответственности</w:t>
      </w:r>
      <w:r w:rsidRPr="00995FB0">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Признается утратившим силу аналогичный Приказ Ространснадзора от 07.02.2025 N ВБ-25фс.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 xml:space="preserve">Рособрнадзором направлены разъяснения по вопросам соблюдения обязательных требований к проведению экзамена по русскому языку как иностранному, истории России и основам законодательства РФ и </w:t>
      </w:r>
      <w:proofErr w:type="gramStart"/>
      <w:r w:rsidRPr="00995FB0">
        <w:rPr>
          <w:rFonts w:ascii="Times New Roman" w:eastAsia="Times New Roman" w:hAnsi="Times New Roman" w:cs="Times New Roman"/>
          <w:b/>
          <w:bCs/>
          <w:sz w:val="24"/>
          <w:szCs w:val="24"/>
          <w:lang w:eastAsia="ru-RU"/>
        </w:rPr>
        <w:t>выдаче</w:t>
      </w:r>
      <w:proofErr w:type="gramEnd"/>
      <w:r w:rsidRPr="00995FB0">
        <w:rPr>
          <w:rFonts w:ascii="Times New Roman" w:eastAsia="Times New Roman" w:hAnsi="Times New Roman" w:cs="Times New Roman"/>
          <w:b/>
          <w:bCs/>
          <w:sz w:val="24"/>
          <w:szCs w:val="24"/>
          <w:lang w:eastAsia="ru-RU"/>
        </w:rPr>
        <w:t xml:space="preserve"> иностранным гражданам сертификата</w:t>
      </w:r>
      <w:r w:rsidRPr="00995FB0">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D60B2D" w:rsidRDefault="00995FB0" w:rsidP="00D60B2D">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В частности, разъяснено, будут ли проводиться проверки государственных учреждений, проводящих экзамен, в 2025 году, какие документы будет требовать контрольный </w:t>
      </w:r>
      <w:r w:rsidRPr="00995FB0">
        <w:rPr>
          <w:rFonts w:ascii="Times New Roman" w:eastAsia="Times New Roman" w:hAnsi="Times New Roman" w:cs="Times New Roman"/>
          <w:sz w:val="24"/>
          <w:szCs w:val="24"/>
          <w:lang w:eastAsia="ru-RU"/>
        </w:rPr>
        <w:lastRenderedPageBreak/>
        <w:t xml:space="preserve">(надзорный) орган в обязательном порядке при проведении проверки, предусмотрено ли уведомление государственного учреждения о проведении проверки и пр. </w:t>
      </w:r>
    </w:p>
    <w:p w:rsidR="00D60B2D" w:rsidRDefault="00D60B2D" w:rsidP="00D60B2D">
      <w:pPr>
        <w:spacing w:before="168" w:after="0" w:line="288" w:lineRule="atLeast"/>
        <w:jc w:val="both"/>
        <w:rPr>
          <w:rFonts w:ascii="Times New Roman" w:eastAsia="Times New Roman" w:hAnsi="Times New Roman" w:cs="Times New Roman"/>
          <w:b/>
          <w:bCs/>
          <w:sz w:val="24"/>
          <w:szCs w:val="24"/>
          <w:lang w:eastAsia="ru-RU"/>
        </w:rPr>
      </w:pPr>
    </w:p>
    <w:p w:rsidR="00995FB0" w:rsidRPr="00D60B2D" w:rsidRDefault="00995FB0" w:rsidP="00D60B2D">
      <w:pPr>
        <w:pStyle w:val="a4"/>
        <w:numPr>
          <w:ilvl w:val="0"/>
          <w:numId w:val="1"/>
        </w:numPr>
        <w:spacing w:before="168" w:after="0" w:line="288" w:lineRule="atLeast"/>
        <w:jc w:val="both"/>
        <w:rPr>
          <w:rFonts w:ascii="Times New Roman" w:eastAsia="Times New Roman" w:hAnsi="Times New Roman" w:cs="Times New Roman"/>
          <w:b/>
          <w:bCs/>
          <w:sz w:val="24"/>
          <w:szCs w:val="24"/>
          <w:lang w:eastAsia="ru-RU"/>
        </w:rPr>
      </w:pPr>
      <w:r w:rsidRPr="00D60B2D">
        <w:rPr>
          <w:rFonts w:ascii="Times New Roman" w:eastAsia="Times New Roman" w:hAnsi="Times New Roman" w:cs="Times New Roman"/>
          <w:b/>
          <w:bCs/>
          <w:sz w:val="24"/>
          <w:szCs w:val="24"/>
          <w:lang w:eastAsia="ru-RU"/>
        </w:rPr>
        <w:t>Президент РФ поручил обеспечить ускоренное развитие отрасли беспилотной авиации для достижения к 2030 году технологического лидерства в ней</w:t>
      </w:r>
      <w:r w:rsidRPr="00D60B2D">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tblPr>
      <w:tblGrid>
        <w:gridCol w:w="330"/>
        <w:gridCol w:w="9025"/>
      </w:tblGrid>
      <w:tr w:rsidR="00995FB0" w:rsidRPr="00995FB0" w:rsidTr="00995FB0">
        <w:tc>
          <w:tcPr>
            <w:tcW w:w="180" w:type="dxa"/>
            <w:tcMar>
              <w:top w:w="0" w:type="dxa"/>
              <w:left w:w="0" w:type="dxa"/>
              <w:bottom w:w="0" w:type="dxa"/>
              <w:right w:w="150" w:type="dxa"/>
            </w:tcMar>
            <w:hideMark/>
          </w:tcPr>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noProof/>
                <w:lang w:eastAsia="ru-RU"/>
              </w:rPr>
              <w:drawing>
                <wp:inline distT="0" distB="0" distL="0" distR="0">
                  <wp:extent cx="114300" cy="142875"/>
                  <wp:effectExtent l="0" t="0" r="0" b="9525"/>
                  <wp:docPr id="322" name="Рисунок 322" descr="C:\Users\Neshchetnaia.A.V\AppData\Local\Microsoft\Windows\INetCache\Content.MSO\6541814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C:\Users\Neshchetnaia.A.V\AppData\Local\Microsoft\Windows\INetCache\Content.MSO\65418145.tmp"/>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rsidR="00995FB0" w:rsidRPr="00995FB0" w:rsidRDefault="00995FB0" w:rsidP="00995FB0">
            <w:pPr>
              <w:spacing w:after="0" w:line="288" w:lineRule="atLeast"/>
              <w:rPr>
                <w:rFonts w:ascii="Times New Roman" w:eastAsia="Times New Roman" w:hAnsi="Times New Roman" w:cs="Times New Roman"/>
                <w:sz w:val="21"/>
                <w:szCs w:val="21"/>
                <w:lang w:eastAsia="ru-RU"/>
              </w:rPr>
            </w:pPr>
            <w:r w:rsidRPr="00995FB0">
              <w:rPr>
                <w:rFonts w:ascii="Times New Roman" w:eastAsia="Times New Roman" w:hAnsi="Times New Roman" w:cs="Times New Roman"/>
                <w:sz w:val="21"/>
                <w:szCs w:val="21"/>
                <w:lang w:eastAsia="ru-RU"/>
              </w:rPr>
              <w:t>"Перечень поручений по итогам совещания по развитию беспилотных авиационных систем"</w:t>
            </w:r>
            <w:r w:rsidRPr="00995FB0">
              <w:rPr>
                <w:rFonts w:ascii="Times New Roman" w:eastAsia="Times New Roman" w:hAnsi="Times New Roman" w:cs="Times New Roman"/>
                <w:sz w:val="21"/>
                <w:szCs w:val="21"/>
                <w:lang w:eastAsia="ru-RU"/>
              </w:rPr>
              <w:br/>
              <w:t xml:space="preserve">(утв. Президентом РФ 19.03.2025 N Пр-589) </w:t>
            </w:r>
          </w:p>
        </w:tc>
      </w:tr>
    </w:tbl>
    <w:p w:rsidR="00995FB0" w:rsidRPr="00995FB0" w:rsidRDefault="00995FB0" w:rsidP="00995FB0">
      <w:pPr>
        <w:pStyle w:val="a4"/>
        <w:numPr>
          <w:ilvl w:val="0"/>
          <w:numId w:val="1"/>
        </w:num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Крупные АО в 2025 году могут проводить годовое заседание общего собрания акционеров с дистанционным участием без закрепления в уставе</w:t>
      </w:r>
      <w:r w:rsidRPr="00995FB0">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Согласно поправкам акционерное общество с числом акционеров более 1 миллиона, уставом которого не предусмотрено положение о возможности проведения заседания общего собрания акционеров с дистанционным участием без определения места его проведения и возможности присутствия в этом месте, вправе в 2025 году провести годовое заседание общего собрания акционеров с дистанционным участием без определения места его проведения и возможности присутствия в этом месте.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Кроме того, предусмотрена возможность предоставления земельного участка, находящегося в государственной или муниципальной собственности, в аренду без проведения торгов на срок до 10 лет гражданину РФ или юридическому лицу в период проведения специальной военной операции при соблюдении определенных условий.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Также усовершенствован порядок приватизации государственного и муниципального имущества.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Даны разъяснения по вопросу необходимости государственной регистрации товарного знака в целях его использования в гражданском обороте</w:t>
      </w:r>
      <w:r w:rsidRPr="00995FB0">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Со ссылками на положения ГК РФ сообщается, что лицу, на имя которого зарегистрирован товарный знак (правообладателю), принадлежит исключительное право использования товарного знака любым не противоречащим закону способом. Использование товарного знака без разрешения правообладателя влечет нарушение его исключительных прав.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Отмечено, что в системе действующего правового регулирования отсутствует императивный запрет на использование обозначений без регистрации товарного знака. Вопрос определения необходимости государственной регистрации товарного знака всегда лежит в сфере интересов конкретного гражданина (физического лица) или юридического лица.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Регистрация компании по адресу, который также является адресом пяти и более организаций, больше не является основанием для автоматического назначения проверки достоверности сведений, включаемых в ЕГРЮЛ</w:t>
      </w:r>
      <w:r w:rsidRPr="00995FB0">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При наличии оснований регистрирующий орган может проверить достоверность включенных в ЕГРЮЛ сведений об адресе. Если компания не ведет деятельность по адресу, указанному при регистрации, то в ЕГРЮЛ могут внести запись о недостоверности представленных сведений, а затем исключить компанию из реестра.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lastRenderedPageBreak/>
        <w:t xml:space="preserve">  </w:t>
      </w:r>
    </w:p>
    <w:p w:rsidR="00995FB0" w:rsidRPr="00995FB0" w:rsidRDefault="00995FB0" w:rsidP="00995FB0">
      <w:pPr>
        <w:pStyle w:val="a4"/>
        <w:numPr>
          <w:ilvl w:val="0"/>
          <w:numId w:val="1"/>
        </w:num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Внесены изменения в требования к схемам теплоснабжения, порядку их разработки и утверждения</w:t>
      </w:r>
      <w:r w:rsidRPr="00995FB0">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В частности, установлен порядок разработки предложений об актуализации системы мер по повышению надежности малонадежных и ненадежных систем теплоснабжения, определенных по итогам анализа и оценки надежности теплоснабжения в отношении территории соответствующего поселения, муниципального округа, городского округа, определен перечень сведений, включаемых в указанные предложения, установлен порядок представления исполнительным органом субъекта РФ итогов анализа и оценки надежности теплоснабжения на территории соответствующего поселения, муниципального округа, городского округа, уточнен порядок направления органом местного самоуправления, органом исполнительной власти городов федерального значения в уполномоченный федеральный орган проекта схемы теплоснабжения (проекта актуализированной схемы теплоснабжения).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До конца 2026 года расчет пеней и штрафов за несвоевременную оплату ЖКУ будет осуществляться исходя из пониженной ключевой ставки Банка России</w:t>
      </w:r>
      <w:r w:rsidRPr="00995FB0">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Правительство утвердило особенности регулирования жилищных отношений в 2025 - 2026 годах.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Согласно постановлению до 1 января 2027 года расчет пеней, штрафов, начисление процентов в случаях, в частности, несвоевременного внесения платы за жилое помещение и коммунальные услуги, взносов на капитальный ремонт и т.д., будет осуществляться исходя из минимального значения ключевой ставки Банка России из следующих значений: ключевой ставки, действующей по состоянию на 27 февраля 2022 г., и ключевой ставки, действующей на день фактической оплаты (на день исполнения обязательства, на день начисления процентов).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Разъяснены особенности применения на 2025 год дифференцированных по объемам потребления электрической энергии тарифов для населения и приравненных к нему категорий потребителей</w:t>
      </w:r>
      <w:r w:rsidRPr="00995FB0">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Сообщается, в числе прочего, следующее: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перерасчет и последующее определение стоимости электрической энергии по диапазонам объемов потребления с учетом примененного сезонного коэффициента осуществляется в отношении оборудованных электроотопительными установками </w:t>
      </w:r>
      <w:proofErr w:type="spellStart"/>
      <w:r w:rsidRPr="00995FB0">
        <w:rPr>
          <w:rFonts w:ascii="Times New Roman" w:eastAsia="Times New Roman" w:hAnsi="Times New Roman" w:cs="Times New Roman"/>
          <w:sz w:val="24"/>
          <w:szCs w:val="24"/>
          <w:lang w:eastAsia="ru-RU"/>
        </w:rPr>
        <w:t>негазифицированных</w:t>
      </w:r>
      <w:proofErr w:type="spellEnd"/>
      <w:r w:rsidRPr="00995FB0">
        <w:rPr>
          <w:rFonts w:ascii="Times New Roman" w:eastAsia="Times New Roman" w:hAnsi="Times New Roman" w:cs="Times New Roman"/>
          <w:sz w:val="24"/>
          <w:szCs w:val="24"/>
          <w:lang w:eastAsia="ru-RU"/>
        </w:rPr>
        <w:t xml:space="preserve"> жилых и садовых домов, в том числе находящихся на земельных участках садоводческих или огороднических некоммерческих товариществ, при наличии зарегистрированного права собственности или иного предусмотренного законом права на указанные объекты;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при определении стоимости электрической энергии в отношении садоводческих или огороднических некоммерческих товариществ гарантирующие поставщики, энергосбытовые (энергоснабжающие) организации применяют диапазоны объемов потребления, установленные для данной группы потребителей, за исключением тех жилых и (или) садовых домов, в отношении которых заключены договоры энергоснабжения между потребителем и гарантирующим поставщиком, энергосбытовой (энергоснабжающей) организацией;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lastRenderedPageBreak/>
        <w:t xml:space="preserve">в целях проверки фактов газификации жилых (садовых) домов гарантирующие поставщики (энергосбытовые (энергоснабжающие) организации) могут обратиться в газораспределительные организации или органы местного самоуправления с запросом перечня жилых и садовых домов, подключенных к централизованной системе газоснабжения. Уполномоченным исполнительным органам субъектов РФ рекомендуется содействовать в предоставлении такой информации;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при выставлении счетов гарантирующими поставщиками, энергосбытовым (энергоснабжающим) организациям населению и приравненным потребителям, к объемам первого диапазона потребления электрической энергии применяется соответствующий тариф на электрическую энергию для первого диапазона. К объемам второго и третьего диапазонов потребления электрической энергии применяются соответствующие тарифы на электрическую энергию для второго и третьего диапазонов. Выставление поставщиками тарифа не соответствующего диапазона, а также применение тарифа второго и третьего диапазона ко всему объему потребления электрической энергии является нарушением действующего порядка ценообразования на розничном рынке электрической энергии и мощности.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Также отмечается, что к документам, подтверждающим отопление жилого (садового дома) с применением электроотопительной установки, могут быть отнесены, в частности: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технический паспорт жилого помещения;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проектная документация или иные документы технического учета, если в них отражен данный способ отопления;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технический паспорт на электроотопительную установку;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акт осмотра гарантирующего поставщика (энергосбытовой (энергоснабжающей) организации), с которым потребитель ведет расчеты, и (или) осмотром сетевой организации или осмотром представителя садоводческого или огороднического некоммерческого товарищества (в отношении садовых участков (домов), расчеты за электрическую энергию (мощность) по которым ведутся с указанным товариществом);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иные документы, подтверждающие наличие соответствующего оборудования.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Разъяснены особенности управления многоквартирным домом, все помещения в котором принадлежат одному собственнику</w:t>
      </w:r>
      <w:r w:rsidRPr="00995FB0">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Сообщается, в частности, следующее.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В случае если все помещения в МКД принадлежат одному собственнику, такой собственник на основании части 7 статьи 46 ЖК РФ единолично принимает решение о выборе способа управления МКД. Если в МКД более тридцати квартир, тогда выбор непосредственного управления МКД законом не допускается.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ЖК РФ не содержит запрета на создание ТСЖ лицом, которое является собственником всех помещений в МКД.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В случае если ТСЖ создано лицом, которое является собственником всех помещений в МКД, такое лицо единолично образует правление ТСЖ и является председателем правления ТСЖ, при этом указанное лицо обязано избрать ревизионную комиссию (ревизора), членом которой само это лицо являться не может. Отмечается, что ЖК РФ не содержит требования о выборе ревизионной комиссии (ревизора) ТСЖ исключительно из </w:t>
      </w:r>
      <w:r w:rsidRPr="00995FB0">
        <w:rPr>
          <w:rFonts w:ascii="Times New Roman" w:eastAsia="Times New Roman" w:hAnsi="Times New Roman" w:cs="Times New Roman"/>
          <w:sz w:val="24"/>
          <w:szCs w:val="24"/>
          <w:lang w:eastAsia="ru-RU"/>
        </w:rPr>
        <w:lastRenderedPageBreak/>
        <w:t xml:space="preserve">членов ТСЖ. Кроме того, в случае наличия у собственника всех помещений в МКД лицензии на осуществление предпринимательской деятельности по управлению МКД созданное таким собственником ТСЖ не имеет права заключить договор управления МКД с этим собственником.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В случае выбора собственником всех помещений в МКД способа управления МКД управляющей организацией такой собственник в силу пункта 4.7 части 2 статьи 44 ЖК РФ имеет право выбрать управляющую организацию. Лицо, которое является собственником всех помещений в МКД, в случае выбора способа управления МКД управляющей организацией не имеет права выбрать в качестве управляющей организации самого себя, независимо от того, имеется ли у указанного лица лицензия на осуществление предпринимательской деятельности по управлению МКД.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Таким образом, собственник всех помещений в МКД вправе принять единолично решение о выборе способа управления МКД, а определенное решением лицо, осуществляющее деятельность по управлению МКД, обязано размещать информацию в ГИС ЖКХ в соответствии с Федеральным законом от 21 июля 2014 г. N 209-ФЗ "О государственной информационной системе жилищно-коммунального хозяйства".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Даны разъяснения по вопросу установки шлагбаума на проезде или проходе на земельном участке, находящемся непосредственно у многоквартирного дома</w:t>
      </w:r>
      <w:r w:rsidRPr="00995FB0">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Сообщается, в частности, что для разрешения данного вопроса необходимо определить, входит ли земельный участок в состав общего имущества собственников помещений в многоквартирном доме (далее - МКД) или указанный земельный участок находится в государственной или муниципальной собственности публично-правового образования, на территории которого расположен МКД.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Установка шлагбаума на земельном участке, входящем в состав общего имущества в МКД, осуществляется по решению общего собрания собственников помещений в указанном МКД, при этом такое решение принято, если за него проголосовали собственники, обладающие не менее чем двумя третями голосов от общего числа голосов собственников помещений в МКД. Распоряжение земельным участком, не входящим в состав общего имущества МКД, в том числе принятие решений об установке на таком земельном участке шлагбаумов, не относится к компетенции общего собрания собственников помещений в МКД.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Отмечается, что жилищным законодательством не предусмотрена возможность определения общего имущества нескольких МКД, в том числе не допускается определение одного земельного участка, входящего в состав общего имущества двух или более МКД. Следовательно, если на государственный кадастровый учет поставлен земельный участок, на котором расположены два или более МКД, такой земельный участок не входит в состав общего имущества собственников помещений в МКД и является собственностью публично-правового образования, на территории которого расположен указанный земельный участок.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Если земельный участок под одним МКД не образован, тогда земля под МКД находится в собственности соответствующего публично-правового образования. В указанном случае распоряжение земельным участком, в том числе установка шлагбаумов, предназначенных для ограничения проезда и (или) прохода на земельный участок, является правом уполномоченных органов соответствующего публично-правового образования.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lastRenderedPageBreak/>
        <w:t xml:space="preserve">  </w:t>
      </w:r>
    </w:p>
    <w:p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Минстроем дан ряд разъяснений по вопросам взимания с граждан платы за коммунальные услуги</w:t>
      </w:r>
      <w:r w:rsidRPr="00995FB0">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В частности, в письме отмечено следующее: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частью 1 статьи 153 ЖК РФ установлена обязанность граждан и организаций своевременно и полностью вносить плату за жилое помещение и коммунальные услуги. Данная норма не предусматривает возможности возложения на собственника жилого помещения обязанности по оплате услуг, не оказанных либо оказанных без законных оснований;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платежный документ не является офертой, поскольку содержит состав платежа за жилищно-коммунальные услуги для конкретного потребителя;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действующим законодательством на исполнителей услуг не возлагается обязанность проставления в платежных документах на оплату жилищно-коммунальных услуг ни подписей должностных лиц, ни печати организации;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юридическое лицо, которому в соответствии с ЖК РФ вносится плата за жилое помещение и коммунальные услуги, а также его представитель вправе взимать плату за жилое помещение и коммунальные услуги как самостоятельно, так и с привлечением платежных агентов и банковских платежных агентов, при этом привлечение последних не является обязательным. В случае привлечения платежного агента платежный агент при приеме платежей обязан использовать специальный банковский счет (счета) для осуществления расчетов.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Минтрудом направлены разъяснения по вопросу снятия безработного гражданина с регистрационного учета в связи с получением (попыткой получения) пособия по безработице обманным путем</w:t>
      </w:r>
      <w:r w:rsidRPr="00995FB0">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Со ссылками на Федеральный закон от 12 декабря 2023 г. N 565-ФЗ "О занятости населения в Российской Федерации" сообщается, в частности, что основаниями для возможного принятия решения о снятии безработного гражданина с регистрационного учета в связи с получением (попыткой получения) пособия по безработице обманным путем являются: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представление гражданином документов, содержащих заведомо ложные сведения об отсутствии работы и заработка;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несоответствие сведений, указанных гражданином в заявлении о предоставлении меры государственной поддержки по содействию гражданам в поиске подходящей работы, сведениям, полученным центром занятости населения в госорганах.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Безработный гражданин, в отношении которого центром занятости населения принято решение о снятии с регистрационного учета в связи с представлением в центр занятости населения недостоверных документов и (или) сведений, влияющих на приобретение им статуса безработного, снимается с регистрационного учета со дня его признания безработным.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Также основанием для снятия безработного гражданина с регистрационного учета в связи с получением (попыткой получения) пособия по безработице обманным путем является нарушение условий выполнения работ (оказания услуг) по договору гражданско-</w:t>
      </w:r>
      <w:r w:rsidRPr="00995FB0">
        <w:rPr>
          <w:rFonts w:ascii="Times New Roman" w:eastAsia="Times New Roman" w:hAnsi="Times New Roman" w:cs="Times New Roman"/>
          <w:sz w:val="24"/>
          <w:szCs w:val="24"/>
          <w:lang w:eastAsia="ru-RU"/>
        </w:rPr>
        <w:lastRenderedPageBreak/>
        <w:t xml:space="preserve">правового характера в период безработицы. В этом случае безработный гражданин снимается с регистрационного учета со дня начала выполнения работ (оказания услуг) по договору гражданско-правового характера.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Сумма излишне выплаченного пособия по безработице гражданам, снятым с регистрационного учета в связи с получением (попыткой получения) пособия по безработице обманным путем, подлежит возврату в соответствии с пунктом 1 статьи 1102 ГК РФ.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995FB0" w:rsidRDefault="00995FB0" w:rsidP="00995FB0">
      <w:pPr>
        <w:pStyle w:val="a4"/>
        <w:numPr>
          <w:ilvl w:val="0"/>
          <w:numId w:val="1"/>
        </w:num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Полномочия субъектов РФ по осуществлению региональной социальной доплаты к пенсии могут передаваться органам СФР</w:t>
      </w:r>
      <w:r w:rsidRPr="00995FB0">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В случае, если соответствующие полномочия на основании заключенных соглашений переданы Фонду, указанная доплата к пенсии осуществляется его территориальными органами в порядке, определяемом Правительством РФ.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Финансовое обеспечение расходов на выплату региональных социальных доплат в указанном случае будет осуществляться за счет межбюджетных трансфертов из федерального бюджета, а также бюджетных ассигнований бюджетов субъектов РФ.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Федеральный закон вступает в силу с 1 января 2026 года.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Дополнены направления деятельности Государственного фонда поддержки участников специальной военной операции "Защитники Отечества"</w:t>
      </w:r>
      <w:r w:rsidRPr="00995FB0">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Закреплено, что деятельность Фонда также направлена на организацию и оказание поддержки и помощи членам семей лиц, пропавших без вести в период участия в СВО либо признанных безвестно отсутствующими в связи с участием в СВО.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Таким гражданам Фонд оказывает психолого-психотерапевтическую помощь, содействие в получении мер социальной поддержки, услуг, бесплатной юридической помощи и во взаимодействии с органами власти, государственными и муниципальными организациями, некоммерческими организациями и добровольческими (волонтерскими) организациями содействие по вопросам, связанным с безвестным отсутствием участников СВО, в том числе касающимся проведения идентификационных генетических исследований.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Настоящий Указ вступает в силу со дня его подписания.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Минфин определен федеральным органом исполнительной власти, обеспечивающим организацию научного и методического сопровождения формирования и исполнения государственного (муниципального) социального заказа на оказание государственных (муниципальных) услуг в социальной сфере</w:t>
      </w:r>
      <w:r w:rsidRPr="00995FB0">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Реализованы положения статьи 7 Федерального закона от 13.07.2020 N 189-ФЗ "О государственном (муниципальном) социальном заказе на оказание государственных (муниципальных) услуг в социальной сфере".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Определен порядок осуществления единовременной выплаты в связи с 80-й годовщиной Победы в Великой Отечественной войне 1941 - 1945 годов</w:t>
      </w:r>
      <w:r w:rsidRPr="00995FB0">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lastRenderedPageBreak/>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Выплата полагается ветеранам и инвалидам Великой Отечественной войны, бывшим несовершеннолетним узникам концлагерей и некоторым иным категориям граждан.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Размер такой выплаты составит 80 000 или 55 000 рублей, в зависимости от категории получателя.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Единовременная выплата будет осуществлена в апреле - мае 2025 года, за исключением установленных случаев, когда единовременная выплата может быть осуществлена позднее.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Минтруд информирует об утверждении новых методических рекомендаций по сопровождаемому проживанию инвалидов, вступивших в силу с 1 марта 2025 года</w:t>
      </w:r>
      <w:r w:rsidRPr="00995FB0">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Методические рекомендации утверждены приказом Минтруда от 25 февраля 2025 г. N 85.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Отмечено, что с 1 марта 2025 года признаны утратившими силу методические рекомендации по организации различных технологий сопровождаемого проживания инвалидов, в том числе такой технологии, как сопровождаемое совместное проживание малых групп инвалидов в отдельных жилых помещениях, утвержденные приказом Минтруда от 14 декабря 2017 г. N 847, а также иные акты, затрагивающие различные аспекты формирования системы комплексной реабилитации и </w:t>
      </w:r>
      <w:proofErr w:type="spellStart"/>
      <w:r w:rsidRPr="00995FB0">
        <w:rPr>
          <w:rFonts w:ascii="Times New Roman" w:eastAsia="Times New Roman" w:hAnsi="Times New Roman" w:cs="Times New Roman"/>
          <w:sz w:val="24"/>
          <w:szCs w:val="24"/>
          <w:lang w:eastAsia="ru-RU"/>
        </w:rPr>
        <w:t>абилитации</w:t>
      </w:r>
      <w:proofErr w:type="spellEnd"/>
      <w:r w:rsidRPr="00995FB0">
        <w:rPr>
          <w:rFonts w:ascii="Times New Roman" w:eastAsia="Times New Roman" w:hAnsi="Times New Roman" w:cs="Times New Roman"/>
          <w:sz w:val="24"/>
          <w:szCs w:val="24"/>
          <w:lang w:eastAsia="ru-RU"/>
        </w:rPr>
        <w:t xml:space="preserve"> инвалидов, ранней помощи детям и их семьям.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ФНС сообщает о порядке подтверждения права на социальный налоговый вычет по НДФЛ в сумме расходов по договорам добровольного страхования, предусматривающим оплату страховыми организациями медицинских услуг</w:t>
      </w:r>
      <w:r w:rsidRPr="00995FB0">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Речь идет о налоговом вычете, установленном подпунктом 3 пункта 1 статьи 219 НК РФ.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Начиная с расходов, произведенных с 01.01.2024, подтверждением права на указанный налоговый вычет является Справка об уплате страховых взносов, представленная по форме, утвержденной приказом ФНС России от 12.10.2023 N БВ-7-11/736@.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Если денежные средства на уплату страховых взносов были перечислены работодателем путем удержания этих сумм из заработной платы работника, в этом случае страховые организации должны выдавать налогоплательщикам Справки об уплате страховых взносов на основании представленных ими справок от работодателей об удержании соответствующих денежных средств из заработной платы работников.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ФНС сообщает о необходимости организовать работу по формированию и направлению налогоплательщикам - физическим лицам заявлений о вынесении судебного приказа о взыскании задолженности в соответствии со статьей 48 НК РФ</w:t>
      </w:r>
      <w:r w:rsidRPr="00995FB0">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Формирование заявлений и решений о взыскании задолженности осуществляется централизованно 1 раз в неделю, в соответствии с установленными графиками.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Заявление доводится до сведения налогоплательщика в течение 10 календарных дней с даты его утверждения, с обязательным приложением решения о взыскании </w:t>
      </w:r>
      <w:r w:rsidRPr="00995FB0">
        <w:rPr>
          <w:rFonts w:ascii="Times New Roman" w:eastAsia="Times New Roman" w:hAnsi="Times New Roman" w:cs="Times New Roman"/>
          <w:sz w:val="24"/>
          <w:szCs w:val="24"/>
          <w:lang w:eastAsia="ru-RU"/>
        </w:rPr>
        <w:lastRenderedPageBreak/>
        <w:t xml:space="preserve">задолженности, уведомления об актуальном отрицательном сальдо ЕНС, подлежащем взысканию, и необходимого комплекта документов.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Заявление о взыскании задолженности направляется в судебный орган в срок не позднее 20 календарных дней после даты утверждения проекта заявления о взыскании с обязательным приложением документов, подтверждающих факт отправки (передачи) копии заявления о взыскании налогоплательщику.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Также даны поручения налоговым органам в целях осуществления контроля за полнотой и своевременностью утверждения и направления сформированных решений и заявлений о взыскании задолженности.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Сообщается также, что действие директивы от 24.10.2023 N Д-5-08/57@ отменяется в связи с изданием настоящей директивы.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ФНС разъяснен порядок применения налоговых льгот участниками СВО и членами их семей</w:t>
      </w:r>
      <w:r w:rsidRPr="00995FB0">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В письме сообщается, в частности: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о категориях лиц, имеющих право на федеральную льготу, освобождающую от уплаты налога на имущество физических лиц по одному объекту капитального строительства определенного вида;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об условиях применения льгот по транспортному и земельному налогам;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о порядке направления заявления о праве на льготу и представлении подтверждающих документов.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При этом отмечено, что в случае, если гражданин не представил заявление или не сообщил об отказе от применения льготы, она предоставляется в </w:t>
      </w:r>
      <w:proofErr w:type="spellStart"/>
      <w:r w:rsidRPr="00995FB0">
        <w:rPr>
          <w:rFonts w:ascii="Times New Roman" w:eastAsia="Times New Roman" w:hAnsi="Times New Roman" w:cs="Times New Roman"/>
          <w:sz w:val="24"/>
          <w:szCs w:val="24"/>
          <w:lang w:eastAsia="ru-RU"/>
        </w:rPr>
        <w:t>беззаявительном</w:t>
      </w:r>
      <w:proofErr w:type="spellEnd"/>
      <w:r w:rsidRPr="00995FB0">
        <w:rPr>
          <w:rFonts w:ascii="Times New Roman" w:eastAsia="Times New Roman" w:hAnsi="Times New Roman" w:cs="Times New Roman"/>
          <w:sz w:val="24"/>
          <w:szCs w:val="24"/>
          <w:lang w:eastAsia="ru-RU"/>
        </w:rPr>
        <w:t xml:space="preserve"> (</w:t>
      </w:r>
      <w:proofErr w:type="spellStart"/>
      <w:r w:rsidRPr="00995FB0">
        <w:rPr>
          <w:rFonts w:ascii="Times New Roman" w:eastAsia="Times New Roman" w:hAnsi="Times New Roman" w:cs="Times New Roman"/>
          <w:sz w:val="24"/>
          <w:szCs w:val="24"/>
          <w:lang w:eastAsia="ru-RU"/>
        </w:rPr>
        <w:t>проактивном</w:t>
      </w:r>
      <w:proofErr w:type="spellEnd"/>
      <w:r w:rsidRPr="00995FB0">
        <w:rPr>
          <w:rFonts w:ascii="Times New Roman" w:eastAsia="Times New Roman" w:hAnsi="Times New Roman" w:cs="Times New Roman"/>
          <w:sz w:val="24"/>
          <w:szCs w:val="24"/>
          <w:lang w:eastAsia="ru-RU"/>
        </w:rPr>
        <w:t xml:space="preserve">) порядке, на основании сведений, полученных налоговым органом в порядке межведомственного взаимодействия.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995FB0" w:rsidRDefault="00995FB0" w:rsidP="00995FB0">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b/>
          <w:bCs/>
          <w:sz w:val="24"/>
          <w:szCs w:val="24"/>
          <w:lang w:eastAsia="ru-RU"/>
        </w:rPr>
        <w:t>ФНС: в случае гибели или уничтожения принадлежащего физлицу объекта недвижимости налогообложение прекращается с первого числа месяца, в котором он прекратил существование</w:t>
      </w:r>
      <w:r w:rsidRPr="00995FB0">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Налогоплательщик вправе представить заявление и документы, подтверждающие факт гибели или уничтожения объекта налогообложения.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Если в налоговом органе такие документы отсутствуют, то по информации, указанной в заявлении, налоговый орган запрашивает необходимые сведения у органов и иных лиц, ими располагающими.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Сообщен примерный перечень запрашиваемых сведений, подтверждающих факт гибели (уничтожения) имущества. </w:t>
      </w:r>
    </w:p>
    <w:p w:rsidR="00C6542E"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C6542E" w:rsidRDefault="00995FB0" w:rsidP="00C6542E">
      <w:pPr>
        <w:pStyle w:val="a4"/>
        <w:numPr>
          <w:ilvl w:val="0"/>
          <w:numId w:val="1"/>
        </w:numPr>
        <w:spacing w:before="168" w:after="0" w:line="288" w:lineRule="atLeast"/>
        <w:jc w:val="both"/>
        <w:rPr>
          <w:rFonts w:ascii="Times New Roman" w:eastAsia="Times New Roman" w:hAnsi="Times New Roman" w:cs="Times New Roman"/>
          <w:sz w:val="24"/>
          <w:szCs w:val="24"/>
          <w:lang w:eastAsia="ru-RU"/>
        </w:rPr>
      </w:pPr>
      <w:r w:rsidRPr="00C6542E">
        <w:rPr>
          <w:rFonts w:ascii="Times New Roman" w:eastAsia="Times New Roman" w:hAnsi="Times New Roman" w:cs="Times New Roman"/>
          <w:b/>
          <w:bCs/>
          <w:sz w:val="24"/>
          <w:szCs w:val="24"/>
          <w:lang w:eastAsia="ru-RU"/>
        </w:rPr>
        <w:t>Обновлены обязательные требования к обеспечению защиты информации в целях противодействия осуществлению переводов денежных средств без согласия клиента</w:t>
      </w:r>
      <w:r w:rsidRPr="00C6542E">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lastRenderedPageBreak/>
        <w:t xml:space="preserve">Требования применяются для обеспечения защиты: информации, содержащейся в составленных в электронном виде документах; информации, необходимой для авторизации клиентов; информации об осуществленных банковских операциях; информации, связанной с исполнением распоряжений пользователя платформы цифрового рубля; ключевой информации средств криптографической защиты информации (СКЗИ).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Кредитные организации, филиалы иностранных банков должны формировать для клиентов рекомендации по защите информации от воздействия вредоносных кодов в целях противодействия осуществлению переводов денежных средств без согласия клиента.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На основании заявлений клиентов могут устанавливаться ограничения на осуществление операций либо ограничения максимальной суммы одной операции и (или) операций за определенный период времени.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Системно значимые КО, а также КО, значимые на рынке платежных услуг, должны обеспечить возможность использования мобильной версии приложения для приема заявлений клиентов-физлиц о каждом случае совершения операций без их согласия или с согласия клиента, полученного под влиянием обмана или при злоупотреблении доверием.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Положение вступает в силу по истечении 10 дней после дня его официального опубликования, за исключением отдельных положений, для которых установлены иные сроки вступления их в силу.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Признано утратившим силу Положение Банка России от 17 апреля 2019 года N 683-П.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C6542E" w:rsidRDefault="00995FB0" w:rsidP="00C6542E">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C6542E">
        <w:rPr>
          <w:rFonts w:ascii="Times New Roman" w:eastAsia="Times New Roman" w:hAnsi="Times New Roman" w:cs="Times New Roman"/>
          <w:b/>
          <w:bCs/>
          <w:sz w:val="24"/>
          <w:szCs w:val="24"/>
          <w:lang w:eastAsia="ru-RU"/>
        </w:rPr>
        <w:t>Банк России опять не стал изменять ключевую ставку и сохранил ее на уровне 21,00% годовых</w:t>
      </w:r>
      <w:r w:rsidRPr="00C6542E">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Сообщается, в частности, что текущее инфляционное давление снизилось, но остается высоким. Рост внутреннего спроса по-прежнему значительно опережает возможности расширения предложения товаров и услуг. Рост кредитования остается сдержанным, а сберегательная активность населения - высокой. По оценке Банка России, достигнутая жесткость денежно-кредитных условий формирует необходимые предпосылки для возвращения инфляции к цели в 2026 году. Для достижения цели по инфляции потребуется продолжительный период поддержания жестких денежно-кредитных условий в экономике. Если динамика </w:t>
      </w:r>
      <w:proofErr w:type="spellStart"/>
      <w:r w:rsidRPr="00995FB0">
        <w:rPr>
          <w:rFonts w:ascii="Times New Roman" w:eastAsia="Times New Roman" w:hAnsi="Times New Roman" w:cs="Times New Roman"/>
          <w:sz w:val="24"/>
          <w:szCs w:val="24"/>
          <w:lang w:eastAsia="ru-RU"/>
        </w:rPr>
        <w:t>дезинфляции</w:t>
      </w:r>
      <w:proofErr w:type="spellEnd"/>
      <w:r w:rsidRPr="00995FB0">
        <w:rPr>
          <w:rFonts w:ascii="Times New Roman" w:eastAsia="Times New Roman" w:hAnsi="Times New Roman" w:cs="Times New Roman"/>
          <w:sz w:val="24"/>
          <w:szCs w:val="24"/>
          <w:lang w:eastAsia="ru-RU"/>
        </w:rPr>
        <w:t xml:space="preserve"> не будет обеспечивать достижение цели, Банк России рассмотрит вопрос о повышении ключевой ставки.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Следующее заседание Совета директоров Банка России, на котором будет рассматриваться вопрос об уровне ключевой ставки, запланировано на 25 апреля 2025 года. </w:t>
      </w:r>
    </w:p>
    <w:p w:rsidR="00E0310E" w:rsidRDefault="00995FB0" w:rsidP="00E0310E">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w:t>
      </w:r>
    </w:p>
    <w:p w:rsidR="00995FB0" w:rsidRPr="00E0310E" w:rsidRDefault="00995FB0" w:rsidP="00E0310E">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E0310E">
        <w:rPr>
          <w:rFonts w:ascii="Times New Roman" w:eastAsia="Times New Roman" w:hAnsi="Times New Roman" w:cs="Times New Roman"/>
          <w:b/>
          <w:bCs/>
          <w:sz w:val="24"/>
          <w:szCs w:val="24"/>
          <w:lang w:eastAsia="ru-RU"/>
        </w:rPr>
        <w:t xml:space="preserve">Расширен функционал </w:t>
      </w:r>
      <w:proofErr w:type="spellStart"/>
      <w:r w:rsidRPr="00E0310E">
        <w:rPr>
          <w:rFonts w:ascii="Times New Roman" w:eastAsia="Times New Roman" w:hAnsi="Times New Roman" w:cs="Times New Roman"/>
          <w:b/>
          <w:bCs/>
          <w:sz w:val="24"/>
          <w:szCs w:val="24"/>
          <w:lang w:eastAsia="ru-RU"/>
        </w:rPr>
        <w:t>суперсервиса</w:t>
      </w:r>
      <w:proofErr w:type="spellEnd"/>
      <w:r w:rsidRPr="00E0310E">
        <w:rPr>
          <w:rFonts w:ascii="Times New Roman" w:eastAsia="Times New Roman" w:hAnsi="Times New Roman" w:cs="Times New Roman"/>
          <w:b/>
          <w:bCs/>
          <w:sz w:val="24"/>
          <w:szCs w:val="24"/>
          <w:lang w:eastAsia="ru-RU"/>
        </w:rPr>
        <w:t xml:space="preserve"> "Поступление в вуз онлайн"</w:t>
      </w:r>
      <w:r w:rsidRPr="00E0310E">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Внесенные изменения предусматривают возможность использования </w:t>
      </w:r>
      <w:proofErr w:type="spellStart"/>
      <w:r w:rsidRPr="00995FB0">
        <w:rPr>
          <w:rFonts w:ascii="Times New Roman" w:eastAsia="Times New Roman" w:hAnsi="Times New Roman" w:cs="Times New Roman"/>
          <w:sz w:val="24"/>
          <w:szCs w:val="24"/>
          <w:lang w:eastAsia="ru-RU"/>
        </w:rPr>
        <w:t>суперсервиса</w:t>
      </w:r>
      <w:proofErr w:type="spellEnd"/>
      <w:r w:rsidRPr="00995FB0">
        <w:rPr>
          <w:rFonts w:ascii="Times New Roman" w:eastAsia="Times New Roman" w:hAnsi="Times New Roman" w:cs="Times New Roman"/>
          <w:sz w:val="24"/>
          <w:szCs w:val="24"/>
          <w:lang w:eastAsia="ru-RU"/>
        </w:rPr>
        <w:t xml:space="preserve"> в целях организации приема граждан для обучения по образовательным программам среднего профессионального образования.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Расширены полномочия некоторых государственных органов, обеспечивающих функционирование </w:t>
      </w:r>
      <w:proofErr w:type="spellStart"/>
      <w:r w:rsidRPr="00995FB0">
        <w:rPr>
          <w:rFonts w:ascii="Times New Roman" w:eastAsia="Times New Roman" w:hAnsi="Times New Roman" w:cs="Times New Roman"/>
          <w:sz w:val="24"/>
          <w:szCs w:val="24"/>
          <w:lang w:eastAsia="ru-RU"/>
        </w:rPr>
        <w:t>суперсервиса</w:t>
      </w:r>
      <w:proofErr w:type="spellEnd"/>
      <w:r w:rsidRPr="00995FB0">
        <w:rPr>
          <w:rFonts w:ascii="Times New Roman" w:eastAsia="Times New Roman" w:hAnsi="Times New Roman" w:cs="Times New Roman"/>
          <w:sz w:val="24"/>
          <w:szCs w:val="24"/>
          <w:lang w:eastAsia="ru-RU"/>
        </w:rPr>
        <w:t xml:space="preserve"> в рамках приемной кампании.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lastRenderedPageBreak/>
        <w:t xml:space="preserve">Также постановлением дополнен перечень лиц, на которые не распространяется действие постановления о </w:t>
      </w:r>
      <w:proofErr w:type="spellStart"/>
      <w:r w:rsidRPr="00995FB0">
        <w:rPr>
          <w:rFonts w:ascii="Times New Roman" w:eastAsia="Times New Roman" w:hAnsi="Times New Roman" w:cs="Times New Roman"/>
          <w:sz w:val="24"/>
          <w:szCs w:val="24"/>
          <w:lang w:eastAsia="ru-RU"/>
        </w:rPr>
        <w:t>суперсервисе</w:t>
      </w:r>
      <w:proofErr w:type="spellEnd"/>
      <w:r w:rsidRPr="00995FB0">
        <w:rPr>
          <w:rFonts w:ascii="Times New Roman" w:eastAsia="Times New Roman" w:hAnsi="Times New Roman" w:cs="Times New Roman"/>
          <w:sz w:val="24"/>
          <w:szCs w:val="24"/>
          <w:lang w:eastAsia="ru-RU"/>
        </w:rPr>
        <w:t xml:space="preserve">.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5409D8" w:rsidRDefault="00995FB0" w:rsidP="005409D8">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5409D8">
        <w:rPr>
          <w:rFonts w:ascii="Times New Roman" w:eastAsia="Times New Roman" w:hAnsi="Times New Roman" w:cs="Times New Roman"/>
          <w:b/>
          <w:bCs/>
          <w:sz w:val="24"/>
          <w:szCs w:val="24"/>
          <w:lang w:eastAsia="ru-RU"/>
        </w:rPr>
        <w:t>Уточняется порядок перевода обучающихся из одной школы в другую</w:t>
      </w:r>
      <w:r w:rsidRPr="005409D8">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В частности, закреплена возможность направления заявления о зачислении обучающегося в принимающую организацию в порядке перевода из исходной организации в электронной форме посредством Единого портала госуслуг, а также сервисов региональных информационных систем, в случае перевода по собственной инициативе совершеннолетнего обучающегося или по инициативе родителей несовершеннолетнего обучающегося.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Также предусмотрена возможность уведомления в электронной форме (с использованием Единого портала госуслуг или сервисов региональных информационных систем) исходной организации о зачислении обучающегося в принимающую организацию или о предстоящем переводе в связи с прекращением деятельности исходной организации.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Настоящий приказ действует до 1 сентября 2029 года.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5409D8" w:rsidRDefault="00995FB0" w:rsidP="005409D8">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5409D8">
        <w:rPr>
          <w:rFonts w:ascii="Times New Roman" w:eastAsia="Times New Roman" w:hAnsi="Times New Roman" w:cs="Times New Roman"/>
          <w:b/>
          <w:bCs/>
          <w:sz w:val="24"/>
          <w:szCs w:val="24"/>
          <w:lang w:eastAsia="ru-RU"/>
        </w:rPr>
        <w:t>Утверждена концепция реализации проекта "Цифровые кафедры" вузами - участниками программы стратегического академического лидерства "Приоритет-2030"</w:t>
      </w:r>
      <w:r w:rsidRPr="005409D8">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Цель проекта "Цифровые кафедры" - обеспечение приоритетных отраслей экономики высококвалифицированными кадрами, обладающими цифровыми компетенциями.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Обучение на "цифровых кафедрах" проводится по дополнительным профессиональным программам профессиональной переподготовки ИТ-профиля одновременно с обучением по образовательным программам высшего образования или по ИТ-модулям, реализуемым в рамках образовательных программ высшего образования, предусматривающих получение нескольких квалификаций, в том числе в сфере информационных технологий.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На "цифровых кафедрах" проводится обучение студентов, обучающихся по специальностям и направлениям подготовки, которые в соответствии с концепцией не относятся к ИТ-сфере (перечень специальностей и направлений подготовки высшего образования, отнесенных к ИТ-сфере, приведен в приложении к настоящему приказу). Предусмотрено, что один обучающийся может получить дополнительную ИТ-квалификацию на "цифровой кафедре" не более одного раза.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К освоению дополнительных профессиональных программ профессиональной переподготовки допускаются обучающиеся по программам бакалавриата и программам специалитета, начиная со 2 курса, а также обучающиеся по программам магистратуры, начиная с 1 курса.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5409D8" w:rsidRDefault="00995FB0" w:rsidP="005409D8">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5409D8">
        <w:rPr>
          <w:rFonts w:ascii="Times New Roman" w:eastAsia="Times New Roman" w:hAnsi="Times New Roman" w:cs="Times New Roman"/>
          <w:b/>
          <w:bCs/>
          <w:sz w:val="24"/>
          <w:szCs w:val="24"/>
          <w:lang w:eastAsia="ru-RU"/>
        </w:rPr>
        <w:t>Утвержден порядок проведения тестирования детей иностранцев на знание русского языка при их приеме в школы</w:t>
      </w:r>
      <w:r w:rsidRPr="005409D8">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Тестирование на знание русского языка, достаточное для освоения образовательных программ начального общего, основного общего и среднего общего образования, иностранных граждан и лиц без гражданства проводится в государственных и муниципальных общеобразовательных организациях, определяемых исполнительными </w:t>
      </w:r>
      <w:r w:rsidRPr="00995FB0">
        <w:rPr>
          <w:rFonts w:ascii="Times New Roman" w:eastAsia="Times New Roman" w:hAnsi="Times New Roman" w:cs="Times New Roman"/>
          <w:sz w:val="24"/>
          <w:szCs w:val="24"/>
          <w:lang w:eastAsia="ru-RU"/>
        </w:rPr>
        <w:lastRenderedPageBreak/>
        <w:t xml:space="preserve">органами субъектов РФ, осуществляющими государственное управление в сфере образования.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Тестирование проводится на основании направления, полученного в соответствии с пунктом 23(1) Порядка приема на обучение по образовательным программам начального общего, основного общего и среднего общего образования, утвержденного приказом </w:t>
      </w:r>
      <w:proofErr w:type="spellStart"/>
      <w:r w:rsidRPr="00995FB0">
        <w:rPr>
          <w:rFonts w:ascii="Times New Roman" w:eastAsia="Times New Roman" w:hAnsi="Times New Roman" w:cs="Times New Roman"/>
          <w:sz w:val="24"/>
          <w:szCs w:val="24"/>
          <w:lang w:eastAsia="ru-RU"/>
        </w:rPr>
        <w:t>Минпросвещения</w:t>
      </w:r>
      <w:proofErr w:type="spellEnd"/>
      <w:r w:rsidRPr="00995FB0">
        <w:rPr>
          <w:rFonts w:ascii="Times New Roman" w:eastAsia="Times New Roman" w:hAnsi="Times New Roman" w:cs="Times New Roman"/>
          <w:sz w:val="24"/>
          <w:szCs w:val="24"/>
          <w:lang w:eastAsia="ru-RU"/>
        </w:rPr>
        <w:t xml:space="preserve"> от 2 сентября 2020 г. N 458.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Тестирование проводится в устной и письменной форме, за исключением иностранных граждан, проходящих тестирование на знание русского языка при поступлении в 1 класс, для которых указанное тестирование проводится в устной форме.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Тестирование проводится по годам обучения. Продолжительность его проведения - не более 80 минут.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На тестировании иностранному гражданину запрещается: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пользоваться подсказками работников тестирующей организации, а также иностранных граждан, проходящих тестирование;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пользоваться средствами связи, фото-, аудио- и видеоаппаратурой, электронно-вычислительной техникой, справочными материалами, письменными заметками и иными средствами хранения и передачи информации, за исключением их использования в целях тестирования.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Настоящий приказ вступает в силу с 1 апреля 2025 года.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5409D8" w:rsidRDefault="00995FB0" w:rsidP="005409D8">
      <w:pPr>
        <w:pStyle w:val="a4"/>
        <w:numPr>
          <w:ilvl w:val="0"/>
          <w:numId w:val="1"/>
        </w:numPr>
        <w:spacing w:before="168" w:after="0" w:line="288" w:lineRule="atLeast"/>
        <w:jc w:val="both"/>
        <w:rPr>
          <w:rFonts w:ascii="Times New Roman" w:eastAsia="Times New Roman" w:hAnsi="Times New Roman" w:cs="Times New Roman"/>
          <w:sz w:val="24"/>
          <w:szCs w:val="24"/>
          <w:lang w:eastAsia="ru-RU"/>
        </w:rPr>
      </w:pPr>
      <w:r w:rsidRPr="005409D8">
        <w:rPr>
          <w:rFonts w:ascii="Times New Roman" w:eastAsia="Times New Roman" w:hAnsi="Times New Roman" w:cs="Times New Roman"/>
          <w:b/>
          <w:bCs/>
          <w:sz w:val="24"/>
          <w:szCs w:val="24"/>
          <w:lang w:eastAsia="ru-RU"/>
        </w:rPr>
        <w:t>Уточняется порядок предоставления единовременных компенсационных выплат медицинским работникам, прибывшим на работу в военно-медицинские подразделения и воинские части ВС РФ</w:t>
      </w:r>
      <w:r w:rsidRPr="005409D8">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В частности, скорректированы условия предоставления единовременной компенсационной выплаты. Так, дополнительным условием ее предоставления является отсутствие неисполненных финансовых обязательств по договору о целевом обучении, заключенному с Минобороны. Кроме этого, единовременную компенсационную выплату может получить медицинский работник, исполнивший обязательства по договору о целевом обучении, заключенному с Минобороны, и продолжающий трудовые отношения с той же медицинской организацией.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Также закреплена возможность перевода медицинского работника на другую должность внутри одной медицинской организации и перевода в другую медицинскую организацию, расположенную на предусмотренных постановлением Правительства РФ от 11 мая 2023 г. N 738 территориях, с сохранением единовременной компенсационной выплаты.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5409D8" w:rsidRDefault="00995FB0" w:rsidP="005409D8">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5409D8">
        <w:rPr>
          <w:rFonts w:ascii="Times New Roman" w:eastAsia="Times New Roman" w:hAnsi="Times New Roman" w:cs="Times New Roman"/>
          <w:b/>
          <w:bCs/>
          <w:sz w:val="24"/>
          <w:szCs w:val="24"/>
          <w:lang w:eastAsia="ru-RU"/>
        </w:rPr>
        <w:t>Утвержден Кодекс этики применения искусственного интеллекта в сфере охраны здоровья</w:t>
      </w:r>
      <w:r w:rsidRPr="005409D8">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Положения настоящего Кодекса рассчитаны на системы искусственного интеллекта (далее - СИИ), применяемые исключительно в сфере охраны здоровья граждан при оказании медицинской помощи в части профилактики, диагностики, лечения и иных действий в сфере здравоохранения РФ.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lastRenderedPageBreak/>
        <w:t xml:space="preserve">Положения Кодекса распространяются на все лица, принимающие участие в жизненном цикле СИИ при его реализации на территории РФ, и лица, находящиеся на территории РФ, в отношении которых применяется СИИ, включая предоставление товаров и оказание услуг. К таким лицам относятся в том числе: разработчики, производители, уполномоченные представители производителей, заказчики, владельцы, операторы и поставщики данных, пользователи, лица, принимающие участие в регуляторном воздействии на сферу ИИ, в том числе разработчики нормативно-технических документов, руководств, различных регуляторных положений, требований и стандартов в области ИИ (регулятор), иные лица, действия которых потенциально могут повлиять на результаты действий СИИ или лиц, принимающих решения с использованием СИИ.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5409D8" w:rsidRDefault="00995FB0" w:rsidP="005409D8">
      <w:pPr>
        <w:pStyle w:val="a4"/>
        <w:numPr>
          <w:ilvl w:val="0"/>
          <w:numId w:val="1"/>
        </w:numPr>
        <w:spacing w:before="168" w:after="0" w:line="288" w:lineRule="atLeast"/>
        <w:jc w:val="both"/>
        <w:rPr>
          <w:rFonts w:ascii="Times New Roman" w:eastAsia="Times New Roman" w:hAnsi="Times New Roman" w:cs="Times New Roman"/>
          <w:sz w:val="24"/>
          <w:szCs w:val="24"/>
          <w:lang w:eastAsia="ru-RU"/>
        </w:rPr>
      </w:pPr>
      <w:r w:rsidRPr="005409D8">
        <w:rPr>
          <w:rFonts w:ascii="Times New Roman" w:eastAsia="Times New Roman" w:hAnsi="Times New Roman" w:cs="Times New Roman"/>
          <w:b/>
          <w:bCs/>
          <w:sz w:val="24"/>
          <w:szCs w:val="24"/>
          <w:lang w:eastAsia="ru-RU"/>
        </w:rPr>
        <w:t>Упрощена процедура возбуждения уголовного дела о преступлении, дополнительно выявленном в связи с расследуемым уголовным делом</w:t>
      </w:r>
      <w:r w:rsidRPr="005409D8">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Установлено, что в случае, если в ходе предварительного расследования становится известно о совершении нового преступления, отнесенного к подследственности того же органа предварительного расследования, и при наличии оснований для соединения уголовных дел, предусмотренных частями первой и второй статьи 153 УПК РФ, следователь, дознаватель вправе без выделения в отдельное производство материалов возбудить уголовное дело, которое соединяется с расследуемым уголовным делом в соответствии с частью третьей статьи 153 УПК РФ.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5409D8" w:rsidRDefault="00995FB0" w:rsidP="005409D8">
      <w:pPr>
        <w:pStyle w:val="a4"/>
        <w:numPr>
          <w:ilvl w:val="0"/>
          <w:numId w:val="1"/>
        </w:numPr>
        <w:spacing w:before="168" w:after="0" w:line="288" w:lineRule="atLeast"/>
        <w:jc w:val="both"/>
        <w:rPr>
          <w:rFonts w:ascii="Times New Roman" w:eastAsia="Times New Roman" w:hAnsi="Times New Roman" w:cs="Times New Roman"/>
          <w:sz w:val="24"/>
          <w:szCs w:val="24"/>
          <w:lang w:eastAsia="ru-RU"/>
        </w:rPr>
      </w:pPr>
      <w:r w:rsidRPr="005409D8">
        <w:rPr>
          <w:rFonts w:ascii="Times New Roman" w:eastAsia="Times New Roman" w:hAnsi="Times New Roman" w:cs="Times New Roman"/>
          <w:b/>
          <w:bCs/>
          <w:sz w:val="24"/>
          <w:szCs w:val="24"/>
          <w:lang w:eastAsia="ru-RU"/>
        </w:rPr>
        <w:t>Расширен перечень мер предварительной защиты по административному иску об оспаривании нормативного правового акта</w:t>
      </w:r>
      <w:r w:rsidRPr="005409D8">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Реализовано Постановление Конституционного Суда РФ от 11.04.2024 N 17-П "По делу о проверке конституционности статьи 85, части 4 статьи 87 и статьи 211 Кодекса административного судопроизводства Российской Федерации в связи с жалобой гражданина Д.В. Сергеева".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p w:rsidR="00995FB0" w:rsidRPr="005409D8" w:rsidRDefault="00995FB0" w:rsidP="005409D8">
      <w:pPr>
        <w:pStyle w:val="a4"/>
        <w:numPr>
          <w:ilvl w:val="0"/>
          <w:numId w:val="1"/>
        </w:numPr>
        <w:spacing w:after="0" w:line="288" w:lineRule="atLeast"/>
        <w:jc w:val="both"/>
        <w:rPr>
          <w:rFonts w:ascii="Times New Roman" w:eastAsia="Times New Roman" w:hAnsi="Times New Roman" w:cs="Times New Roman"/>
          <w:sz w:val="24"/>
          <w:szCs w:val="24"/>
          <w:lang w:eastAsia="ru-RU"/>
        </w:rPr>
      </w:pPr>
      <w:r w:rsidRPr="005409D8">
        <w:rPr>
          <w:rFonts w:ascii="Times New Roman" w:eastAsia="Times New Roman" w:hAnsi="Times New Roman" w:cs="Times New Roman"/>
          <w:b/>
          <w:bCs/>
          <w:sz w:val="24"/>
          <w:szCs w:val="24"/>
          <w:lang w:eastAsia="ru-RU"/>
        </w:rPr>
        <w:t>Верховным Судом представлен обзор практики межгосударственных органов по защите прав и основных свобод человека N 5 (2025)</w:t>
      </w:r>
      <w:r w:rsidRPr="005409D8">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Обзор включает в себя практику в сфере административно-правовых отношений (в частности, право на уважение личной жизни и право избирать и быть избранным), а также в сфере уголовно-процессуальных отношений (в частности, право на эффективное расследование случаев применения пыток, иного недопустимого обращения, право на разумные сроки судебного разбирательства).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Отмечено, что судам необходимо при рассмотрении административных, гражданских дел, дел по разрешению экономических споров, уголовных и иных дел учитывать правовые позиции, сформулированные межгосударственными органами по защите прав и свобод человека. </w:t>
      </w:r>
    </w:p>
    <w:p w:rsidR="00995FB0" w:rsidRPr="005409D8" w:rsidRDefault="00995FB0" w:rsidP="005409D8">
      <w:pPr>
        <w:pStyle w:val="a4"/>
        <w:numPr>
          <w:ilvl w:val="0"/>
          <w:numId w:val="1"/>
        </w:numPr>
        <w:spacing w:before="168" w:after="0" w:line="288" w:lineRule="atLeast"/>
        <w:jc w:val="both"/>
        <w:rPr>
          <w:rFonts w:ascii="Times New Roman" w:eastAsia="Times New Roman" w:hAnsi="Times New Roman" w:cs="Times New Roman"/>
          <w:sz w:val="24"/>
          <w:szCs w:val="24"/>
          <w:lang w:eastAsia="ru-RU"/>
        </w:rPr>
      </w:pPr>
      <w:r w:rsidRPr="005409D8">
        <w:rPr>
          <w:rFonts w:ascii="Times New Roman" w:eastAsia="Times New Roman" w:hAnsi="Times New Roman" w:cs="Times New Roman"/>
          <w:b/>
          <w:bCs/>
          <w:sz w:val="24"/>
          <w:szCs w:val="24"/>
          <w:lang w:eastAsia="ru-RU"/>
        </w:rPr>
        <w:t>Комиссией по этике и стандартам ФПА РФ даны разъяснения по отдельным вопросам, связанным со сроками рассмотрения дисциплинарных дел в отношении адвокатов</w:t>
      </w:r>
      <w:r w:rsidRPr="005409D8">
        <w:rPr>
          <w:rFonts w:ascii="Times New Roman" w:eastAsia="Times New Roman" w:hAnsi="Times New Roman" w:cs="Times New Roman"/>
          <w:sz w:val="24"/>
          <w:szCs w:val="24"/>
          <w:lang w:eastAsia="ru-RU"/>
        </w:rPr>
        <w:t xml:space="preserve"> </w:t>
      </w:r>
    </w:p>
    <w:p w:rsidR="00995FB0" w:rsidRPr="00995FB0" w:rsidRDefault="00995FB0" w:rsidP="00995FB0">
      <w:pPr>
        <w:spacing w:after="0" w:line="168" w:lineRule="atLeast"/>
        <w:rPr>
          <w:rFonts w:ascii="Times New Roman" w:eastAsia="Times New Roman" w:hAnsi="Times New Roman" w:cs="Times New Roman"/>
          <w:sz w:val="17"/>
          <w:szCs w:val="17"/>
          <w:lang w:eastAsia="ru-RU"/>
        </w:rPr>
      </w:pPr>
      <w:r w:rsidRPr="00995FB0">
        <w:rPr>
          <w:rFonts w:ascii="Times New Roman" w:eastAsia="Times New Roman" w:hAnsi="Times New Roman" w:cs="Times New Roman"/>
          <w:sz w:val="17"/>
          <w:szCs w:val="17"/>
          <w:lang w:eastAsia="ru-RU"/>
        </w:rPr>
        <w:t>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Разъяснено следующее: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lastRenderedPageBreak/>
        <w:t xml:space="preserve">- в случае отмены, в том числе в судебном порядке, решения о прекращении статуса адвоката совет адвокатской палаты субъекта РФ возобновляет рассмотрение снятого с рассмотрения дисциплинарного дела (возобновляет прекращенное дисциплинарное производство) и принимает по нему одно из решений, предусмотренных пунктом 1 статьи 25 Кодекса профессиональной этики адвоката;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рассмотрение советом адвокатской палаты субъекта РФ дисциплинарного дела в течение срока, превышающего установленный двухмесячный срок, равно как и рассмотрение квалификационной комиссией дисциплинарного дела в течение срока, превышающего двухмесячный срок, не является основанием для прекращения дисциплинарного производства или для отмены вынесенного по нему заключения квалификационной комиссии либо принятого по нему решения совета адвокатской палаты субъекта РФ; </w:t>
      </w:r>
    </w:p>
    <w:p w:rsidR="00995FB0" w:rsidRPr="00995FB0" w:rsidRDefault="00995FB0" w:rsidP="00995FB0">
      <w:pPr>
        <w:spacing w:before="168"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если вследствие выхода органов адвокатской палаты субъекта РФ за пределы какого-либо из указанных двухмесячных сроков к моменту принятия решения по дисциплинарному делу истек срок применения к адвокату мер дисциплинарной ответственности, установленный пунктом 5 статьи 18 Кодекса профессиональной этики адвоката, то дисциплинарное производство подлежит прекращению по основанию, предусмотренному подпунктом 6 пункта 1 статьи 25 Кодекса профессиональной этики адвоката. </w:t>
      </w:r>
    </w:p>
    <w:p w:rsidR="00995FB0" w:rsidRPr="00995FB0" w:rsidRDefault="00995FB0" w:rsidP="00995FB0">
      <w:pPr>
        <w:spacing w:after="0" w:line="288" w:lineRule="atLeast"/>
        <w:jc w:val="both"/>
        <w:rPr>
          <w:rFonts w:ascii="Times New Roman" w:eastAsia="Times New Roman" w:hAnsi="Times New Roman" w:cs="Times New Roman"/>
          <w:sz w:val="24"/>
          <w:szCs w:val="24"/>
          <w:lang w:eastAsia="ru-RU"/>
        </w:rPr>
      </w:pPr>
      <w:r w:rsidRPr="00995FB0">
        <w:rPr>
          <w:rFonts w:ascii="Times New Roman" w:eastAsia="Times New Roman" w:hAnsi="Times New Roman" w:cs="Times New Roman"/>
          <w:sz w:val="24"/>
          <w:szCs w:val="24"/>
          <w:lang w:eastAsia="ru-RU"/>
        </w:rPr>
        <w:t xml:space="preserve">  </w:t>
      </w:r>
    </w:p>
    <w:sectPr w:rsidR="00995FB0" w:rsidRPr="00995FB0" w:rsidSect="002F726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C4006D"/>
    <w:multiLevelType w:val="hybridMultilevel"/>
    <w:tmpl w:val="F6B4E00E"/>
    <w:lvl w:ilvl="0" w:tplc="B10C984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F447A"/>
    <w:rsid w:val="0001618B"/>
    <w:rsid w:val="002F726C"/>
    <w:rsid w:val="005409D8"/>
    <w:rsid w:val="00763383"/>
    <w:rsid w:val="008F447A"/>
    <w:rsid w:val="00995FB0"/>
    <w:rsid w:val="00C6542E"/>
    <w:rsid w:val="00D60B2D"/>
    <w:rsid w:val="00E0310E"/>
    <w:rsid w:val="00E1723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726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995FB0"/>
  </w:style>
  <w:style w:type="paragraph" w:customStyle="1" w:styleId="msonormal0">
    <w:name w:val="msonormal"/>
    <w:basedOn w:val="a"/>
    <w:rsid w:val="00995F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995F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995FB0"/>
    <w:pPr>
      <w:ind w:left="720"/>
      <w:contextualSpacing/>
    </w:pPr>
  </w:style>
</w:styles>
</file>

<file path=word/webSettings.xml><?xml version="1.0" encoding="utf-8"?>
<w:webSettings xmlns:r="http://schemas.openxmlformats.org/officeDocument/2006/relationships" xmlns:w="http://schemas.openxmlformats.org/wordprocessingml/2006/main">
  <w:divs>
    <w:div w:id="1198659184">
      <w:bodyDiv w:val="1"/>
      <w:marLeft w:val="0"/>
      <w:marRight w:val="0"/>
      <w:marTop w:val="0"/>
      <w:marBottom w:val="0"/>
      <w:divBdr>
        <w:top w:val="none" w:sz="0" w:space="0" w:color="auto"/>
        <w:left w:val="none" w:sz="0" w:space="0" w:color="auto"/>
        <w:bottom w:val="none" w:sz="0" w:space="0" w:color="auto"/>
        <w:right w:val="none" w:sz="0" w:space="0" w:color="auto"/>
      </w:divBdr>
      <w:divsChild>
        <w:div w:id="255751816">
          <w:marLeft w:val="0"/>
          <w:marRight w:val="0"/>
          <w:marTop w:val="0"/>
          <w:marBottom w:val="0"/>
          <w:divBdr>
            <w:top w:val="none" w:sz="0" w:space="0" w:color="auto"/>
            <w:left w:val="none" w:sz="0" w:space="0" w:color="auto"/>
            <w:bottom w:val="none" w:sz="0" w:space="0" w:color="auto"/>
            <w:right w:val="none" w:sz="0" w:space="0" w:color="auto"/>
          </w:divBdr>
        </w:div>
        <w:div w:id="672755316">
          <w:marLeft w:val="0"/>
          <w:marRight w:val="0"/>
          <w:marTop w:val="0"/>
          <w:marBottom w:val="0"/>
          <w:divBdr>
            <w:top w:val="none" w:sz="0" w:space="0" w:color="auto"/>
            <w:left w:val="none" w:sz="0" w:space="0" w:color="auto"/>
            <w:bottom w:val="none" w:sz="0" w:space="0" w:color="auto"/>
            <w:right w:val="none" w:sz="0" w:space="0" w:color="auto"/>
          </w:divBdr>
        </w:div>
        <w:div w:id="291132107">
          <w:marLeft w:val="0"/>
          <w:marRight w:val="0"/>
          <w:marTop w:val="0"/>
          <w:marBottom w:val="0"/>
          <w:divBdr>
            <w:top w:val="none" w:sz="0" w:space="0" w:color="auto"/>
            <w:left w:val="none" w:sz="0" w:space="0" w:color="auto"/>
            <w:bottom w:val="none" w:sz="0" w:space="0" w:color="auto"/>
            <w:right w:val="none" w:sz="0" w:space="0" w:color="auto"/>
          </w:divBdr>
        </w:div>
        <w:div w:id="1028287990">
          <w:marLeft w:val="0"/>
          <w:marRight w:val="0"/>
          <w:marTop w:val="0"/>
          <w:marBottom w:val="0"/>
          <w:divBdr>
            <w:top w:val="none" w:sz="0" w:space="0" w:color="auto"/>
            <w:left w:val="none" w:sz="0" w:space="0" w:color="auto"/>
            <w:bottom w:val="none" w:sz="0" w:space="0" w:color="auto"/>
            <w:right w:val="none" w:sz="0" w:space="0" w:color="auto"/>
          </w:divBdr>
        </w:div>
        <w:div w:id="1086339364">
          <w:marLeft w:val="0"/>
          <w:marRight w:val="0"/>
          <w:marTop w:val="0"/>
          <w:marBottom w:val="0"/>
          <w:divBdr>
            <w:top w:val="none" w:sz="0" w:space="0" w:color="auto"/>
            <w:left w:val="none" w:sz="0" w:space="0" w:color="auto"/>
            <w:bottom w:val="none" w:sz="0" w:space="0" w:color="auto"/>
            <w:right w:val="none" w:sz="0" w:space="0" w:color="auto"/>
          </w:divBdr>
        </w:div>
        <w:div w:id="132335025">
          <w:marLeft w:val="0"/>
          <w:marRight w:val="0"/>
          <w:marTop w:val="0"/>
          <w:marBottom w:val="0"/>
          <w:divBdr>
            <w:top w:val="none" w:sz="0" w:space="0" w:color="auto"/>
            <w:left w:val="none" w:sz="0" w:space="0" w:color="auto"/>
            <w:bottom w:val="none" w:sz="0" w:space="0" w:color="auto"/>
            <w:right w:val="none" w:sz="0" w:space="0" w:color="auto"/>
          </w:divBdr>
        </w:div>
        <w:div w:id="652561061">
          <w:marLeft w:val="0"/>
          <w:marRight w:val="0"/>
          <w:marTop w:val="0"/>
          <w:marBottom w:val="0"/>
          <w:divBdr>
            <w:top w:val="none" w:sz="0" w:space="0" w:color="auto"/>
            <w:left w:val="none" w:sz="0" w:space="0" w:color="auto"/>
            <w:bottom w:val="none" w:sz="0" w:space="0" w:color="auto"/>
            <w:right w:val="none" w:sz="0" w:space="0" w:color="auto"/>
          </w:divBdr>
        </w:div>
        <w:div w:id="499855899">
          <w:marLeft w:val="0"/>
          <w:marRight w:val="0"/>
          <w:marTop w:val="0"/>
          <w:marBottom w:val="0"/>
          <w:divBdr>
            <w:top w:val="none" w:sz="0" w:space="0" w:color="auto"/>
            <w:left w:val="none" w:sz="0" w:space="0" w:color="auto"/>
            <w:bottom w:val="none" w:sz="0" w:space="0" w:color="auto"/>
            <w:right w:val="none" w:sz="0" w:space="0" w:color="auto"/>
          </w:divBdr>
        </w:div>
        <w:div w:id="1156265151">
          <w:marLeft w:val="0"/>
          <w:marRight w:val="0"/>
          <w:marTop w:val="0"/>
          <w:marBottom w:val="0"/>
          <w:divBdr>
            <w:top w:val="none" w:sz="0" w:space="0" w:color="auto"/>
            <w:left w:val="none" w:sz="0" w:space="0" w:color="auto"/>
            <w:bottom w:val="none" w:sz="0" w:space="0" w:color="auto"/>
            <w:right w:val="none" w:sz="0" w:space="0" w:color="auto"/>
          </w:divBdr>
        </w:div>
        <w:div w:id="186798325">
          <w:marLeft w:val="0"/>
          <w:marRight w:val="0"/>
          <w:marTop w:val="0"/>
          <w:marBottom w:val="0"/>
          <w:divBdr>
            <w:top w:val="none" w:sz="0" w:space="0" w:color="auto"/>
            <w:left w:val="none" w:sz="0" w:space="0" w:color="auto"/>
            <w:bottom w:val="none" w:sz="0" w:space="0" w:color="auto"/>
            <w:right w:val="none" w:sz="0" w:space="0" w:color="auto"/>
          </w:divBdr>
        </w:div>
        <w:div w:id="560362372">
          <w:marLeft w:val="0"/>
          <w:marRight w:val="0"/>
          <w:marTop w:val="0"/>
          <w:marBottom w:val="0"/>
          <w:divBdr>
            <w:top w:val="none" w:sz="0" w:space="0" w:color="auto"/>
            <w:left w:val="none" w:sz="0" w:space="0" w:color="auto"/>
            <w:bottom w:val="none" w:sz="0" w:space="0" w:color="auto"/>
            <w:right w:val="none" w:sz="0" w:space="0" w:color="auto"/>
          </w:divBdr>
        </w:div>
        <w:div w:id="1562718553">
          <w:marLeft w:val="0"/>
          <w:marRight w:val="0"/>
          <w:marTop w:val="0"/>
          <w:marBottom w:val="0"/>
          <w:divBdr>
            <w:top w:val="none" w:sz="0" w:space="0" w:color="auto"/>
            <w:left w:val="none" w:sz="0" w:space="0" w:color="auto"/>
            <w:bottom w:val="none" w:sz="0" w:space="0" w:color="auto"/>
            <w:right w:val="none" w:sz="0" w:space="0" w:color="auto"/>
          </w:divBdr>
        </w:div>
        <w:div w:id="478769813">
          <w:marLeft w:val="0"/>
          <w:marRight w:val="0"/>
          <w:marTop w:val="0"/>
          <w:marBottom w:val="0"/>
          <w:divBdr>
            <w:top w:val="none" w:sz="0" w:space="0" w:color="auto"/>
            <w:left w:val="none" w:sz="0" w:space="0" w:color="auto"/>
            <w:bottom w:val="none" w:sz="0" w:space="0" w:color="auto"/>
            <w:right w:val="none" w:sz="0" w:space="0" w:color="auto"/>
          </w:divBdr>
        </w:div>
        <w:div w:id="1415787231">
          <w:marLeft w:val="0"/>
          <w:marRight w:val="0"/>
          <w:marTop w:val="0"/>
          <w:marBottom w:val="0"/>
          <w:divBdr>
            <w:top w:val="none" w:sz="0" w:space="0" w:color="auto"/>
            <w:left w:val="none" w:sz="0" w:space="0" w:color="auto"/>
            <w:bottom w:val="none" w:sz="0" w:space="0" w:color="auto"/>
            <w:right w:val="none" w:sz="0" w:space="0" w:color="auto"/>
          </w:divBdr>
        </w:div>
        <w:div w:id="373575849">
          <w:marLeft w:val="0"/>
          <w:marRight w:val="0"/>
          <w:marTop w:val="0"/>
          <w:marBottom w:val="0"/>
          <w:divBdr>
            <w:top w:val="none" w:sz="0" w:space="0" w:color="auto"/>
            <w:left w:val="none" w:sz="0" w:space="0" w:color="auto"/>
            <w:bottom w:val="none" w:sz="0" w:space="0" w:color="auto"/>
            <w:right w:val="none" w:sz="0" w:space="0" w:color="auto"/>
          </w:divBdr>
        </w:div>
        <w:div w:id="576521301">
          <w:marLeft w:val="0"/>
          <w:marRight w:val="0"/>
          <w:marTop w:val="0"/>
          <w:marBottom w:val="0"/>
          <w:divBdr>
            <w:top w:val="none" w:sz="0" w:space="0" w:color="auto"/>
            <w:left w:val="none" w:sz="0" w:space="0" w:color="auto"/>
            <w:bottom w:val="none" w:sz="0" w:space="0" w:color="auto"/>
            <w:right w:val="none" w:sz="0" w:space="0" w:color="auto"/>
          </w:divBdr>
        </w:div>
        <w:div w:id="137650372">
          <w:marLeft w:val="0"/>
          <w:marRight w:val="0"/>
          <w:marTop w:val="0"/>
          <w:marBottom w:val="0"/>
          <w:divBdr>
            <w:top w:val="none" w:sz="0" w:space="0" w:color="auto"/>
            <w:left w:val="none" w:sz="0" w:space="0" w:color="auto"/>
            <w:bottom w:val="none" w:sz="0" w:space="0" w:color="auto"/>
            <w:right w:val="none" w:sz="0" w:space="0" w:color="auto"/>
          </w:divBdr>
        </w:div>
        <w:div w:id="862861657">
          <w:marLeft w:val="0"/>
          <w:marRight w:val="0"/>
          <w:marTop w:val="0"/>
          <w:marBottom w:val="0"/>
          <w:divBdr>
            <w:top w:val="none" w:sz="0" w:space="0" w:color="auto"/>
            <w:left w:val="none" w:sz="0" w:space="0" w:color="auto"/>
            <w:bottom w:val="none" w:sz="0" w:space="0" w:color="auto"/>
            <w:right w:val="none" w:sz="0" w:space="0" w:color="auto"/>
          </w:divBdr>
        </w:div>
        <w:div w:id="1501047424">
          <w:marLeft w:val="0"/>
          <w:marRight w:val="0"/>
          <w:marTop w:val="0"/>
          <w:marBottom w:val="0"/>
          <w:divBdr>
            <w:top w:val="none" w:sz="0" w:space="0" w:color="auto"/>
            <w:left w:val="none" w:sz="0" w:space="0" w:color="auto"/>
            <w:bottom w:val="none" w:sz="0" w:space="0" w:color="auto"/>
            <w:right w:val="none" w:sz="0" w:space="0" w:color="auto"/>
          </w:divBdr>
        </w:div>
        <w:div w:id="954138757">
          <w:marLeft w:val="0"/>
          <w:marRight w:val="0"/>
          <w:marTop w:val="0"/>
          <w:marBottom w:val="0"/>
          <w:divBdr>
            <w:top w:val="none" w:sz="0" w:space="0" w:color="auto"/>
            <w:left w:val="none" w:sz="0" w:space="0" w:color="auto"/>
            <w:bottom w:val="none" w:sz="0" w:space="0" w:color="auto"/>
            <w:right w:val="none" w:sz="0" w:space="0" w:color="auto"/>
          </w:divBdr>
        </w:div>
        <w:div w:id="1360543630">
          <w:marLeft w:val="0"/>
          <w:marRight w:val="0"/>
          <w:marTop w:val="0"/>
          <w:marBottom w:val="0"/>
          <w:divBdr>
            <w:top w:val="none" w:sz="0" w:space="0" w:color="auto"/>
            <w:left w:val="none" w:sz="0" w:space="0" w:color="auto"/>
            <w:bottom w:val="none" w:sz="0" w:space="0" w:color="auto"/>
            <w:right w:val="none" w:sz="0" w:space="0" w:color="auto"/>
          </w:divBdr>
        </w:div>
        <w:div w:id="913244739">
          <w:marLeft w:val="0"/>
          <w:marRight w:val="0"/>
          <w:marTop w:val="0"/>
          <w:marBottom w:val="0"/>
          <w:divBdr>
            <w:top w:val="none" w:sz="0" w:space="0" w:color="auto"/>
            <w:left w:val="none" w:sz="0" w:space="0" w:color="auto"/>
            <w:bottom w:val="none" w:sz="0" w:space="0" w:color="auto"/>
            <w:right w:val="none" w:sz="0" w:space="0" w:color="auto"/>
          </w:divBdr>
        </w:div>
        <w:div w:id="1560942979">
          <w:marLeft w:val="0"/>
          <w:marRight w:val="0"/>
          <w:marTop w:val="0"/>
          <w:marBottom w:val="0"/>
          <w:divBdr>
            <w:top w:val="none" w:sz="0" w:space="0" w:color="auto"/>
            <w:left w:val="none" w:sz="0" w:space="0" w:color="auto"/>
            <w:bottom w:val="none" w:sz="0" w:space="0" w:color="auto"/>
            <w:right w:val="none" w:sz="0" w:space="0" w:color="auto"/>
          </w:divBdr>
        </w:div>
        <w:div w:id="1365718532">
          <w:marLeft w:val="0"/>
          <w:marRight w:val="0"/>
          <w:marTop w:val="0"/>
          <w:marBottom w:val="0"/>
          <w:divBdr>
            <w:top w:val="none" w:sz="0" w:space="0" w:color="auto"/>
            <w:left w:val="none" w:sz="0" w:space="0" w:color="auto"/>
            <w:bottom w:val="none" w:sz="0" w:space="0" w:color="auto"/>
            <w:right w:val="none" w:sz="0" w:space="0" w:color="auto"/>
          </w:divBdr>
        </w:div>
        <w:div w:id="125857451">
          <w:marLeft w:val="0"/>
          <w:marRight w:val="0"/>
          <w:marTop w:val="0"/>
          <w:marBottom w:val="0"/>
          <w:divBdr>
            <w:top w:val="none" w:sz="0" w:space="0" w:color="auto"/>
            <w:left w:val="none" w:sz="0" w:space="0" w:color="auto"/>
            <w:bottom w:val="none" w:sz="0" w:space="0" w:color="auto"/>
            <w:right w:val="none" w:sz="0" w:space="0" w:color="auto"/>
          </w:divBdr>
        </w:div>
        <w:div w:id="2004121267">
          <w:marLeft w:val="0"/>
          <w:marRight w:val="0"/>
          <w:marTop w:val="0"/>
          <w:marBottom w:val="0"/>
          <w:divBdr>
            <w:top w:val="none" w:sz="0" w:space="0" w:color="auto"/>
            <w:left w:val="none" w:sz="0" w:space="0" w:color="auto"/>
            <w:bottom w:val="none" w:sz="0" w:space="0" w:color="auto"/>
            <w:right w:val="none" w:sz="0" w:space="0" w:color="auto"/>
          </w:divBdr>
        </w:div>
        <w:div w:id="865408098">
          <w:marLeft w:val="0"/>
          <w:marRight w:val="0"/>
          <w:marTop w:val="0"/>
          <w:marBottom w:val="0"/>
          <w:divBdr>
            <w:top w:val="none" w:sz="0" w:space="0" w:color="auto"/>
            <w:left w:val="none" w:sz="0" w:space="0" w:color="auto"/>
            <w:bottom w:val="none" w:sz="0" w:space="0" w:color="auto"/>
            <w:right w:val="none" w:sz="0" w:space="0" w:color="auto"/>
          </w:divBdr>
        </w:div>
        <w:div w:id="353307357">
          <w:marLeft w:val="0"/>
          <w:marRight w:val="0"/>
          <w:marTop w:val="0"/>
          <w:marBottom w:val="0"/>
          <w:divBdr>
            <w:top w:val="none" w:sz="0" w:space="0" w:color="auto"/>
            <w:left w:val="none" w:sz="0" w:space="0" w:color="auto"/>
            <w:bottom w:val="none" w:sz="0" w:space="0" w:color="auto"/>
            <w:right w:val="none" w:sz="0" w:space="0" w:color="auto"/>
          </w:divBdr>
        </w:div>
        <w:div w:id="51537319">
          <w:marLeft w:val="0"/>
          <w:marRight w:val="0"/>
          <w:marTop w:val="0"/>
          <w:marBottom w:val="0"/>
          <w:divBdr>
            <w:top w:val="none" w:sz="0" w:space="0" w:color="auto"/>
            <w:left w:val="none" w:sz="0" w:space="0" w:color="auto"/>
            <w:bottom w:val="none" w:sz="0" w:space="0" w:color="auto"/>
            <w:right w:val="none" w:sz="0" w:space="0" w:color="auto"/>
          </w:divBdr>
        </w:div>
        <w:div w:id="1588537358">
          <w:marLeft w:val="0"/>
          <w:marRight w:val="0"/>
          <w:marTop w:val="0"/>
          <w:marBottom w:val="0"/>
          <w:divBdr>
            <w:top w:val="none" w:sz="0" w:space="0" w:color="auto"/>
            <w:left w:val="none" w:sz="0" w:space="0" w:color="auto"/>
            <w:bottom w:val="none" w:sz="0" w:space="0" w:color="auto"/>
            <w:right w:val="none" w:sz="0" w:space="0" w:color="auto"/>
          </w:divBdr>
        </w:div>
        <w:div w:id="672341486">
          <w:marLeft w:val="0"/>
          <w:marRight w:val="0"/>
          <w:marTop w:val="0"/>
          <w:marBottom w:val="0"/>
          <w:divBdr>
            <w:top w:val="none" w:sz="0" w:space="0" w:color="auto"/>
            <w:left w:val="none" w:sz="0" w:space="0" w:color="auto"/>
            <w:bottom w:val="none" w:sz="0" w:space="0" w:color="auto"/>
            <w:right w:val="none" w:sz="0" w:space="0" w:color="auto"/>
          </w:divBdr>
        </w:div>
        <w:div w:id="595942254">
          <w:marLeft w:val="0"/>
          <w:marRight w:val="0"/>
          <w:marTop w:val="0"/>
          <w:marBottom w:val="0"/>
          <w:divBdr>
            <w:top w:val="none" w:sz="0" w:space="0" w:color="auto"/>
            <w:left w:val="none" w:sz="0" w:space="0" w:color="auto"/>
            <w:bottom w:val="none" w:sz="0" w:space="0" w:color="auto"/>
            <w:right w:val="none" w:sz="0" w:space="0" w:color="auto"/>
          </w:divBdr>
        </w:div>
        <w:div w:id="1695112848">
          <w:marLeft w:val="0"/>
          <w:marRight w:val="0"/>
          <w:marTop w:val="0"/>
          <w:marBottom w:val="0"/>
          <w:divBdr>
            <w:top w:val="none" w:sz="0" w:space="0" w:color="auto"/>
            <w:left w:val="none" w:sz="0" w:space="0" w:color="auto"/>
            <w:bottom w:val="none" w:sz="0" w:space="0" w:color="auto"/>
            <w:right w:val="none" w:sz="0" w:space="0" w:color="auto"/>
          </w:divBdr>
        </w:div>
        <w:div w:id="405300319">
          <w:marLeft w:val="0"/>
          <w:marRight w:val="0"/>
          <w:marTop w:val="0"/>
          <w:marBottom w:val="0"/>
          <w:divBdr>
            <w:top w:val="none" w:sz="0" w:space="0" w:color="auto"/>
            <w:left w:val="none" w:sz="0" w:space="0" w:color="auto"/>
            <w:bottom w:val="none" w:sz="0" w:space="0" w:color="auto"/>
            <w:right w:val="none" w:sz="0" w:space="0" w:color="auto"/>
          </w:divBdr>
        </w:div>
        <w:div w:id="546724088">
          <w:marLeft w:val="0"/>
          <w:marRight w:val="0"/>
          <w:marTop w:val="0"/>
          <w:marBottom w:val="0"/>
          <w:divBdr>
            <w:top w:val="none" w:sz="0" w:space="0" w:color="auto"/>
            <w:left w:val="none" w:sz="0" w:space="0" w:color="auto"/>
            <w:bottom w:val="none" w:sz="0" w:space="0" w:color="auto"/>
            <w:right w:val="none" w:sz="0" w:space="0" w:color="auto"/>
          </w:divBdr>
        </w:div>
        <w:div w:id="1813710591">
          <w:marLeft w:val="0"/>
          <w:marRight w:val="0"/>
          <w:marTop w:val="0"/>
          <w:marBottom w:val="0"/>
          <w:divBdr>
            <w:top w:val="none" w:sz="0" w:space="0" w:color="auto"/>
            <w:left w:val="none" w:sz="0" w:space="0" w:color="auto"/>
            <w:bottom w:val="none" w:sz="0" w:space="0" w:color="auto"/>
            <w:right w:val="none" w:sz="0" w:space="0" w:color="auto"/>
          </w:divBdr>
        </w:div>
        <w:div w:id="1127701658">
          <w:marLeft w:val="0"/>
          <w:marRight w:val="0"/>
          <w:marTop w:val="0"/>
          <w:marBottom w:val="0"/>
          <w:divBdr>
            <w:top w:val="none" w:sz="0" w:space="0" w:color="auto"/>
            <w:left w:val="none" w:sz="0" w:space="0" w:color="auto"/>
            <w:bottom w:val="none" w:sz="0" w:space="0" w:color="auto"/>
            <w:right w:val="none" w:sz="0" w:space="0" w:color="auto"/>
          </w:divBdr>
        </w:div>
        <w:div w:id="1715740301">
          <w:marLeft w:val="0"/>
          <w:marRight w:val="0"/>
          <w:marTop w:val="0"/>
          <w:marBottom w:val="0"/>
          <w:divBdr>
            <w:top w:val="none" w:sz="0" w:space="0" w:color="auto"/>
            <w:left w:val="none" w:sz="0" w:space="0" w:color="auto"/>
            <w:bottom w:val="none" w:sz="0" w:space="0" w:color="auto"/>
            <w:right w:val="none" w:sz="0" w:space="0" w:color="auto"/>
          </w:divBdr>
        </w:div>
        <w:div w:id="2143882167">
          <w:marLeft w:val="0"/>
          <w:marRight w:val="0"/>
          <w:marTop w:val="0"/>
          <w:marBottom w:val="0"/>
          <w:divBdr>
            <w:top w:val="none" w:sz="0" w:space="0" w:color="auto"/>
            <w:left w:val="none" w:sz="0" w:space="0" w:color="auto"/>
            <w:bottom w:val="none" w:sz="0" w:space="0" w:color="auto"/>
            <w:right w:val="none" w:sz="0" w:space="0" w:color="auto"/>
          </w:divBdr>
        </w:div>
        <w:div w:id="970329629">
          <w:marLeft w:val="0"/>
          <w:marRight w:val="0"/>
          <w:marTop w:val="0"/>
          <w:marBottom w:val="0"/>
          <w:divBdr>
            <w:top w:val="none" w:sz="0" w:space="0" w:color="auto"/>
            <w:left w:val="none" w:sz="0" w:space="0" w:color="auto"/>
            <w:bottom w:val="none" w:sz="0" w:space="0" w:color="auto"/>
            <w:right w:val="none" w:sz="0" w:space="0" w:color="auto"/>
          </w:divBdr>
        </w:div>
        <w:div w:id="937912089">
          <w:marLeft w:val="0"/>
          <w:marRight w:val="0"/>
          <w:marTop w:val="0"/>
          <w:marBottom w:val="0"/>
          <w:divBdr>
            <w:top w:val="none" w:sz="0" w:space="0" w:color="auto"/>
            <w:left w:val="none" w:sz="0" w:space="0" w:color="auto"/>
            <w:bottom w:val="none" w:sz="0" w:space="0" w:color="auto"/>
            <w:right w:val="none" w:sz="0" w:space="0" w:color="auto"/>
          </w:divBdr>
        </w:div>
        <w:div w:id="1248876">
          <w:marLeft w:val="0"/>
          <w:marRight w:val="0"/>
          <w:marTop w:val="0"/>
          <w:marBottom w:val="0"/>
          <w:divBdr>
            <w:top w:val="none" w:sz="0" w:space="0" w:color="auto"/>
            <w:left w:val="none" w:sz="0" w:space="0" w:color="auto"/>
            <w:bottom w:val="none" w:sz="0" w:space="0" w:color="auto"/>
            <w:right w:val="none" w:sz="0" w:space="0" w:color="auto"/>
          </w:divBdr>
        </w:div>
        <w:div w:id="1969967963">
          <w:marLeft w:val="0"/>
          <w:marRight w:val="0"/>
          <w:marTop w:val="0"/>
          <w:marBottom w:val="0"/>
          <w:divBdr>
            <w:top w:val="none" w:sz="0" w:space="0" w:color="auto"/>
            <w:left w:val="none" w:sz="0" w:space="0" w:color="auto"/>
            <w:bottom w:val="none" w:sz="0" w:space="0" w:color="auto"/>
            <w:right w:val="none" w:sz="0" w:space="0" w:color="auto"/>
          </w:divBdr>
        </w:div>
        <w:div w:id="1887831792">
          <w:marLeft w:val="0"/>
          <w:marRight w:val="0"/>
          <w:marTop w:val="0"/>
          <w:marBottom w:val="0"/>
          <w:divBdr>
            <w:top w:val="none" w:sz="0" w:space="0" w:color="auto"/>
            <w:left w:val="none" w:sz="0" w:space="0" w:color="auto"/>
            <w:bottom w:val="none" w:sz="0" w:space="0" w:color="auto"/>
            <w:right w:val="none" w:sz="0" w:space="0" w:color="auto"/>
          </w:divBdr>
        </w:div>
        <w:div w:id="1781340499">
          <w:marLeft w:val="0"/>
          <w:marRight w:val="0"/>
          <w:marTop w:val="0"/>
          <w:marBottom w:val="0"/>
          <w:divBdr>
            <w:top w:val="none" w:sz="0" w:space="0" w:color="auto"/>
            <w:left w:val="none" w:sz="0" w:space="0" w:color="auto"/>
            <w:bottom w:val="none" w:sz="0" w:space="0" w:color="auto"/>
            <w:right w:val="none" w:sz="0" w:space="0" w:color="auto"/>
          </w:divBdr>
        </w:div>
        <w:div w:id="671418873">
          <w:marLeft w:val="0"/>
          <w:marRight w:val="0"/>
          <w:marTop w:val="0"/>
          <w:marBottom w:val="0"/>
          <w:divBdr>
            <w:top w:val="none" w:sz="0" w:space="0" w:color="auto"/>
            <w:left w:val="none" w:sz="0" w:space="0" w:color="auto"/>
            <w:bottom w:val="none" w:sz="0" w:space="0" w:color="auto"/>
            <w:right w:val="none" w:sz="0" w:space="0" w:color="auto"/>
          </w:divBdr>
        </w:div>
        <w:div w:id="1343969807">
          <w:marLeft w:val="0"/>
          <w:marRight w:val="0"/>
          <w:marTop w:val="0"/>
          <w:marBottom w:val="0"/>
          <w:divBdr>
            <w:top w:val="none" w:sz="0" w:space="0" w:color="auto"/>
            <w:left w:val="none" w:sz="0" w:space="0" w:color="auto"/>
            <w:bottom w:val="none" w:sz="0" w:space="0" w:color="auto"/>
            <w:right w:val="none" w:sz="0" w:space="0" w:color="auto"/>
          </w:divBdr>
        </w:div>
        <w:div w:id="128131695">
          <w:marLeft w:val="0"/>
          <w:marRight w:val="0"/>
          <w:marTop w:val="0"/>
          <w:marBottom w:val="0"/>
          <w:divBdr>
            <w:top w:val="none" w:sz="0" w:space="0" w:color="auto"/>
            <w:left w:val="none" w:sz="0" w:space="0" w:color="auto"/>
            <w:bottom w:val="none" w:sz="0" w:space="0" w:color="auto"/>
            <w:right w:val="none" w:sz="0" w:space="0" w:color="auto"/>
          </w:divBdr>
        </w:div>
        <w:div w:id="22444967">
          <w:marLeft w:val="0"/>
          <w:marRight w:val="0"/>
          <w:marTop w:val="0"/>
          <w:marBottom w:val="0"/>
          <w:divBdr>
            <w:top w:val="none" w:sz="0" w:space="0" w:color="auto"/>
            <w:left w:val="none" w:sz="0" w:space="0" w:color="auto"/>
            <w:bottom w:val="none" w:sz="0" w:space="0" w:color="auto"/>
            <w:right w:val="none" w:sz="0" w:space="0" w:color="auto"/>
          </w:divBdr>
        </w:div>
        <w:div w:id="644315698">
          <w:marLeft w:val="0"/>
          <w:marRight w:val="0"/>
          <w:marTop w:val="0"/>
          <w:marBottom w:val="0"/>
          <w:divBdr>
            <w:top w:val="none" w:sz="0" w:space="0" w:color="auto"/>
            <w:left w:val="none" w:sz="0" w:space="0" w:color="auto"/>
            <w:bottom w:val="none" w:sz="0" w:space="0" w:color="auto"/>
            <w:right w:val="none" w:sz="0" w:space="0" w:color="auto"/>
          </w:divBdr>
        </w:div>
        <w:div w:id="925380873">
          <w:marLeft w:val="0"/>
          <w:marRight w:val="0"/>
          <w:marTop w:val="0"/>
          <w:marBottom w:val="0"/>
          <w:divBdr>
            <w:top w:val="none" w:sz="0" w:space="0" w:color="auto"/>
            <w:left w:val="none" w:sz="0" w:space="0" w:color="auto"/>
            <w:bottom w:val="none" w:sz="0" w:space="0" w:color="auto"/>
            <w:right w:val="none" w:sz="0" w:space="0" w:color="auto"/>
          </w:divBdr>
        </w:div>
        <w:div w:id="1180972871">
          <w:marLeft w:val="0"/>
          <w:marRight w:val="0"/>
          <w:marTop w:val="0"/>
          <w:marBottom w:val="0"/>
          <w:divBdr>
            <w:top w:val="none" w:sz="0" w:space="0" w:color="auto"/>
            <w:left w:val="none" w:sz="0" w:space="0" w:color="auto"/>
            <w:bottom w:val="none" w:sz="0" w:space="0" w:color="auto"/>
            <w:right w:val="none" w:sz="0" w:space="0" w:color="auto"/>
          </w:divBdr>
        </w:div>
        <w:div w:id="1513569450">
          <w:marLeft w:val="0"/>
          <w:marRight w:val="0"/>
          <w:marTop w:val="0"/>
          <w:marBottom w:val="0"/>
          <w:divBdr>
            <w:top w:val="none" w:sz="0" w:space="0" w:color="auto"/>
            <w:left w:val="none" w:sz="0" w:space="0" w:color="auto"/>
            <w:bottom w:val="none" w:sz="0" w:space="0" w:color="auto"/>
            <w:right w:val="none" w:sz="0" w:space="0" w:color="auto"/>
          </w:divBdr>
        </w:div>
        <w:div w:id="629437839">
          <w:marLeft w:val="0"/>
          <w:marRight w:val="0"/>
          <w:marTop w:val="0"/>
          <w:marBottom w:val="0"/>
          <w:divBdr>
            <w:top w:val="none" w:sz="0" w:space="0" w:color="auto"/>
            <w:left w:val="none" w:sz="0" w:space="0" w:color="auto"/>
            <w:bottom w:val="none" w:sz="0" w:space="0" w:color="auto"/>
            <w:right w:val="none" w:sz="0" w:space="0" w:color="auto"/>
          </w:divBdr>
        </w:div>
        <w:div w:id="1007177592">
          <w:marLeft w:val="0"/>
          <w:marRight w:val="0"/>
          <w:marTop w:val="0"/>
          <w:marBottom w:val="0"/>
          <w:divBdr>
            <w:top w:val="none" w:sz="0" w:space="0" w:color="auto"/>
            <w:left w:val="none" w:sz="0" w:space="0" w:color="auto"/>
            <w:bottom w:val="none" w:sz="0" w:space="0" w:color="auto"/>
            <w:right w:val="none" w:sz="0" w:space="0" w:color="auto"/>
          </w:divBdr>
        </w:div>
        <w:div w:id="670763719">
          <w:marLeft w:val="0"/>
          <w:marRight w:val="0"/>
          <w:marTop w:val="0"/>
          <w:marBottom w:val="0"/>
          <w:divBdr>
            <w:top w:val="none" w:sz="0" w:space="0" w:color="auto"/>
            <w:left w:val="none" w:sz="0" w:space="0" w:color="auto"/>
            <w:bottom w:val="none" w:sz="0" w:space="0" w:color="auto"/>
            <w:right w:val="none" w:sz="0" w:space="0" w:color="auto"/>
          </w:divBdr>
        </w:div>
        <w:div w:id="1595749751">
          <w:marLeft w:val="0"/>
          <w:marRight w:val="0"/>
          <w:marTop w:val="0"/>
          <w:marBottom w:val="0"/>
          <w:divBdr>
            <w:top w:val="none" w:sz="0" w:space="0" w:color="auto"/>
            <w:left w:val="none" w:sz="0" w:space="0" w:color="auto"/>
            <w:bottom w:val="none" w:sz="0" w:space="0" w:color="auto"/>
            <w:right w:val="none" w:sz="0" w:space="0" w:color="auto"/>
          </w:divBdr>
        </w:div>
        <w:div w:id="1792166329">
          <w:marLeft w:val="0"/>
          <w:marRight w:val="0"/>
          <w:marTop w:val="0"/>
          <w:marBottom w:val="0"/>
          <w:divBdr>
            <w:top w:val="none" w:sz="0" w:space="0" w:color="auto"/>
            <w:left w:val="none" w:sz="0" w:space="0" w:color="auto"/>
            <w:bottom w:val="none" w:sz="0" w:space="0" w:color="auto"/>
            <w:right w:val="none" w:sz="0" w:space="0" w:color="auto"/>
          </w:divBdr>
        </w:div>
        <w:div w:id="902133019">
          <w:marLeft w:val="0"/>
          <w:marRight w:val="0"/>
          <w:marTop w:val="0"/>
          <w:marBottom w:val="0"/>
          <w:divBdr>
            <w:top w:val="none" w:sz="0" w:space="0" w:color="auto"/>
            <w:left w:val="none" w:sz="0" w:space="0" w:color="auto"/>
            <w:bottom w:val="none" w:sz="0" w:space="0" w:color="auto"/>
            <w:right w:val="none" w:sz="0" w:space="0" w:color="auto"/>
          </w:divBdr>
        </w:div>
        <w:div w:id="622152524">
          <w:marLeft w:val="0"/>
          <w:marRight w:val="0"/>
          <w:marTop w:val="0"/>
          <w:marBottom w:val="0"/>
          <w:divBdr>
            <w:top w:val="none" w:sz="0" w:space="0" w:color="auto"/>
            <w:left w:val="none" w:sz="0" w:space="0" w:color="auto"/>
            <w:bottom w:val="none" w:sz="0" w:space="0" w:color="auto"/>
            <w:right w:val="none" w:sz="0" w:space="0" w:color="auto"/>
          </w:divBdr>
        </w:div>
        <w:div w:id="615988995">
          <w:marLeft w:val="0"/>
          <w:marRight w:val="0"/>
          <w:marTop w:val="0"/>
          <w:marBottom w:val="0"/>
          <w:divBdr>
            <w:top w:val="none" w:sz="0" w:space="0" w:color="auto"/>
            <w:left w:val="none" w:sz="0" w:space="0" w:color="auto"/>
            <w:bottom w:val="none" w:sz="0" w:space="0" w:color="auto"/>
            <w:right w:val="none" w:sz="0" w:space="0" w:color="auto"/>
          </w:divBdr>
        </w:div>
        <w:div w:id="521629061">
          <w:marLeft w:val="0"/>
          <w:marRight w:val="0"/>
          <w:marTop w:val="0"/>
          <w:marBottom w:val="0"/>
          <w:divBdr>
            <w:top w:val="none" w:sz="0" w:space="0" w:color="auto"/>
            <w:left w:val="none" w:sz="0" w:space="0" w:color="auto"/>
            <w:bottom w:val="none" w:sz="0" w:space="0" w:color="auto"/>
            <w:right w:val="none" w:sz="0" w:space="0" w:color="auto"/>
          </w:divBdr>
        </w:div>
        <w:div w:id="1381827390">
          <w:marLeft w:val="0"/>
          <w:marRight w:val="0"/>
          <w:marTop w:val="0"/>
          <w:marBottom w:val="0"/>
          <w:divBdr>
            <w:top w:val="none" w:sz="0" w:space="0" w:color="auto"/>
            <w:left w:val="none" w:sz="0" w:space="0" w:color="auto"/>
            <w:bottom w:val="none" w:sz="0" w:space="0" w:color="auto"/>
            <w:right w:val="none" w:sz="0" w:space="0" w:color="auto"/>
          </w:divBdr>
        </w:div>
        <w:div w:id="2024043717">
          <w:marLeft w:val="0"/>
          <w:marRight w:val="0"/>
          <w:marTop w:val="0"/>
          <w:marBottom w:val="0"/>
          <w:divBdr>
            <w:top w:val="none" w:sz="0" w:space="0" w:color="auto"/>
            <w:left w:val="none" w:sz="0" w:space="0" w:color="auto"/>
            <w:bottom w:val="none" w:sz="0" w:space="0" w:color="auto"/>
            <w:right w:val="none" w:sz="0" w:space="0" w:color="auto"/>
          </w:divBdr>
        </w:div>
        <w:div w:id="1948613005">
          <w:marLeft w:val="0"/>
          <w:marRight w:val="0"/>
          <w:marTop w:val="0"/>
          <w:marBottom w:val="0"/>
          <w:divBdr>
            <w:top w:val="none" w:sz="0" w:space="0" w:color="auto"/>
            <w:left w:val="none" w:sz="0" w:space="0" w:color="auto"/>
            <w:bottom w:val="none" w:sz="0" w:space="0" w:color="auto"/>
            <w:right w:val="none" w:sz="0" w:space="0" w:color="auto"/>
          </w:divBdr>
        </w:div>
        <w:div w:id="1142499131">
          <w:marLeft w:val="0"/>
          <w:marRight w:val="0"/>
          <w:marTop w:val="0"/>
          <w:marBottom w:val="0"/>
          <w:divBdr>
            <w:top w:val="none" w:sz="0" w:space="0" w:color="auto"/>
            <w:left w:val="none" w:sz="0" w:space="0" w:color="auto"/>
            <w:bottom w:val="none" w:sz="0" w:space="0" w:color="auto"/>
            <w:right w:val="none" w:sz="0" w:space="0" w:color="auto"/>
          </w:divBdr>
        </w:div>
        <w:div w:id="1774282953">
          <w:marLeft w:val="0"/>
          <w:marRight w:val="0"/>
          <w:marTop w:val="0"/>
          <w:marBottom w:val="0"/>
          <w:divBdr>
            <w:top w:val="none" w:sz="0" w:space="0" w:color="auto"/>
            <w:left w:val="none" w:sz="0" w:space="0" w:color="auto"/>
            <w:bottom w:val="none" w:sz="0" w:space="0" w:color="auto"/>
            <w:right w:val="none" w:sz="0" w:space="0" w:color="auto"/>
          </w:divBdr>
        </w:div>
        <w:div w:id="538933580">
          <w:marLeft w:val="0"/>
          <w:marRight w:val="0"/>
          <w:marTop w:val="0"/>
          <w:marBottom w:val="0"/>
          <w:divBdr>
            <w:top w:val="none" w:sz="0" w:space="0" w:color="auto"/>
            <w:left w:val="none" w:sz="0" w:space="0" w:color="auto"/>
            <w:bottom w:val="none" w:sz="0" w:space="0" w:color="auto"/>
            <w:right w:val="none" w:sz="0" w:space="0" w:color="auto"/>
          </w:divBdr>
        </w:div>
        <w:div w:id="643923767">
          <w:marLeft w:val="0"/>
          <w:marRight w:val="0"/>
          <w:marTop w:val="0"/>
          <w:marBottom w:val="0"/>
          <w:divBdr>
            <w:top w:val="none" w:sz="0" w:space="0" w:color="auto"/>
            <w:left w:val="none" w:sz="0" w:space="0" w:color="auto"/>
            <w:bottom w:val="none" w:sz="0" w:space="0" w:color="auto"/>
            <w:right w:val="none" w:sz="0" w:space="0" w:color="auto"/>
          </w:divBdr>
        </w:div>
        <w:div w:id="1723674512">
          <w:marLeft w:val="0"/>
          <w:marRight w:val="0"/>
          <w:marTop w:val="0"/>
          <w:marBottom w:val="0"/>
          <w:divBdr>
            <w:top w:val="none" w:sz="0" w:space="0" w:color="auto"/>
            <w:left w:val="none" w:sz="0" w:space="0" w:color="auto"/>
            <w:bottom w:val="none" w:sz="0" w:space="0" w:color="auto"/>
            <w:right w:val="none" w:sz="0" w:space="0" w:color="auto"/>
          </w:divBdr>
        </w:div>
        <w:div w:id="956332668">
          <w:marLeft w:val="0"/>
          <w:marRight w:val="0"/>
          <w:marTop w:val="0"/>
          <w:marBottom w:val="0"/>
          <w:divBdr>
            <w:top w:val="none" w:sz="0" w:space="0" w:color="auto"/>
            <w:left w:val="none" w:sz="0" w:space="0" w:color="auto"/>
            <w:bottom w:val="none" w:sz="0" w:space="0" w:color="auto"/>
            <w:right w:val="none" w:sz="0" w:space="0" w:color="auto"/>
          </w:divBdr>
        </w:div>
        <w:div w:id="1617911687">
          <w:marLeft w:val="0"/>
          <w:marRight w:val="0"/>
          <w:marTop w:val="0"/>
          <w:marBottom w:val="0"/>
          <w:divBdr>
            <w:top w:val="none" w:sz="0" w:space="0" w:color="auto"/>
            <w:left w:val="none" w:sz="0" w:space="0" w:color="auto"/>
            <w:bottom w:val="none" w:sz="0" w:space="0" w:color="auto"/>
            <w:right w:val="none" w:sz="0" w:space="0" w:color="auto"/>
          </w:divBdr>
        </w:div>
        <w:div w:id="2017071360">
          <w:marLeft w:val="0"/>
          <w:marRight w:val="0"/>
          <w:marTop w:val="0"/>
          <w:marBottom w:val="0"/>
          <w:divBdr>
            <w:top w:val="none" w:sz="0" w:space="0" w:color="auto"/>
            <w:left w:val="none" w:sz="0" w:space="0" w:color="auto"/>
            <w:bottom w:val="none" w:sz="0" w:space="0" w:color="auto"/>
            <w:right w:val="none" w:sz="0" w:space="0" w:color="auto"/>
          </w:divBdr>
        </w:div>
        <w:div w:id="1258245428">
          <w:marLeft w:val="0"/>
          <w:marRight w:val="0"/>
          <w:marTop w:val="0"/>
          <w:marBottom w:val="0"/>
          <w:divBdr>
            <w:top w:val="none" w:sz="0" w:space="0" w:color="auto"/>
            <w:left w:val="none" w:sz="0" w:space="0" w:color="auto"/>
            <w:bottom w:val="none" w:sz="0" w:space="0" w:color="auto"/>
            <w:right w:val="none" w:sz="0" w:space="0" w:color="auto"/>
          </w:divBdr>
        </w:div>
        <w:div w:id="153498051">
          <w:marLeft w:val="0"/>
          <w:marRight w:val="0"/>
          <w:marTop w:val="0"/>
          <w:marBottom w:val="0"/>
          <w:divBdr>
            <w:top w:val="none" w:sz="0" w:space="0" w:color="auto"/>
            <w:left w:val="none" w:sz="0" w:space="0" w:color="auto"/>
            <w:bottom w:val="none" w:sz="0" w:space="0" w:color="auto"/>
            <w:right w:val="none" w:sz="0" w:space="0" w:color="auto"/>
          </w:divBdr>
        </w:div>
        <w:div w:id="1455363552">
          <w:marLeft w:val="0"/>
          <w:marRight w:val="0"/>
          <w:marTop w:val="0"/>
          <w:marBottom w:val="0"/>
          <w:divBdr>
            <w:top w:val="none" w:sz="0" w:space="0" w:color="auto"/>
            <w:left w:val="none" w:sz="0" w:space="0" w:color="auto"/>
            <w:bottom w:val="none" w:sz="0" w:space="0" w:color="auto"/>
            <w:right w:val="none" w:sz="0" w:space="0" w:color="auto"/>
          </w:divBdr>
        </w:div>
        <w:div w:id="1823621248">
          <w:marLeft w:val="0"/>
          <w:marRight w:val="0"/>
          <w:marTop w:val="0"/>
          <w:marBottom w:val="0"/>
          <w:divBdr>
            <w:top w:val="none" w:sz="0" w:space="0" w:color="auto"/>
            <w:left w:val="none" w:sz="0" w:space="0" w:color="auto"/>
            <w:bottom w:val="none" w:sz="0" w:space="0" w:color="auto"/>
            <w:right w:val="none" w:sz="0" w:space="0" w:color="auto"/>
          </w:divBdr>
        </w:div>
        <w:div w:id="1481463358">
          <w:marLeft w:val="0"/>
          <w:marRight w:val="0"/>
          <w:marTop w:val="0"/>
          <w:marBottom w:val="0"/>
          <w:divBdr>
            <w:top w:val="none" w:sz="0" w:space="0" w:color="auto"/>
            <w:left w:val="none" w:sz="0" w:space="0" w:color="auto"/>
            <w:bottom w:val="none" w:sz="0" w:space="0" w:color="auto"/>
            <w:right w:val="none" w:sz="0" w:space="0" w:color="auto"/>
          </w:divBdr>
        </w:div>
        <w:div w:id="882906681">
          <w:marLeft w:val="0"/>
          <w:marRight w:val="0"/>
          <w:marTop w:val="0"/>
          <w:marBottom w:val="0"/>
          <w:divBdr>
            <w:top w:val="none" w:sz="0" w:space="0" w:color="auto"/>
            <w:left w:val="none" w:sz="0" w:space="0" w:color="auto"/>
            <w:bottom w:val="none" w:sz="0" w:space="0" w:color="auto"/>
            <w:right w:val="none" w:sz="0" w:space="0" w:color="auto"/>
          </w:divBdr>
        </w:div>
        <w:div w:id="1276981424">
          <w:marLeft w:val="0"/>
          <w:marRight w:val="0"/>
          <w:marTop w:val="0"/>
          <w:marBottom w:val="0"/>
          <w:divBdr>
            <w:top w:val="none" w:sz="0" w:space="0" w:color="auto"/>
            <w:left w:val="none" w:sz="0" w:space="0" w:color="auto"/>
            <w:bottom w:val="none" w:sz="0" w:space="0" w:color="auto"/>
            <w:right w:val="none" w:sz="0" w:space="0" w:color="auto"/>
          </w:divBdr>
        </w:div>
        <w:div w:id="469445105">
          <w:marLeft w:val="0"/>
          <w:marRight w:val="0"/>
          <w:marTop w:val="0"/>
          <w:marBottom w:val="0"/>
          <w:divBdr>
            <w:top w:val="none" w:sz="0" w:space="0" w:color="auto"/>
            <w:left w:val="none" w:sz="0" w:space="0" w:color="auto"/>
            <w:bottom w:val="none" w:sz="0" w:space="0" w:color="auto"/>
            <w:right w:val="none" w:sz="0" w:space="0" w:color="auto"/>
          </w:divBdr>
        </w:div>
        <w:div w:id="830603819">
          <w:marLeft w:val="0"/>
          <w:marRight w:val="0"/>
          <w:marTop w:val="0"/>
          <w:marBottom w:val="0"/>
          <w:divBdr>
            <w:top w:val="none" w:sz="0" w:space="0" w:color="auto"/>
            <w:left w:val="none" w:sz="0" w:space="0" w:color="auto"/>
            <w:bottom w:val="none" w:sz="0" w:space="0" w:color="auto"/>
            <w:right w:val="none" w:sz="0" w:space="0" w:color="auto"/>
          </w:divBdr>
        </w:div>
        <w:div w:id="259217600">
          <w:marLeft w:val="0"/>
          <w:marRight w:val="0"/>
          <w:marTop w:val="0"/>
          <w:marBottom w:val="0"/>
          <w:divBdr>
            <w:top w:val="none" w:sz="0" w:space="0" w:color="auto"/>
            <w:left w:val="none" w:sz="0" w:space="0" w:color="auto"/>
            <w:bottom w:val="none" w:sz="0" w:space="0" w:color="auto"/>
            <w:right w:val="none" w:sz="0" w:space="0" w:color="auto"/>
          </w:divBdr>
        </w:div>
        <w:div w:id="753013961">
          <w:marLeft w:val="0"/>
          <w:marRight w:val="0"/>
          <w:marTop w:val="0"/>
          <w:marBottom w:val="0"/>
          <w:divBdr>
            <w:top w:val="none" w:sz="0" w:space="0" w:color="auto"/>
            <w:left w:val="none" w:sz="0" w:space="0" w:color="auto"/>
            <w:bottom w:val="none" w:sz="0" w:space="0" w:color="auto"/>
            <w:right w:val="none" w:sz="0" w:space="0" w:color="auto"/>
          </w:divBdr>
        </w:div>
        <w:div w:id="811556491">
          <w:marLeft w:val="0"/>
          <w:marRight w:val="0"/>
          <w:marTop w:val="0"/>
          <w:marBottom w:val="0"/>
          <w:divBdr>
            <w:top w:val="none" w:sz="0" w:space="0" w:color="auto"/>
            <w:left w:val="none" w:sz="0" w:space="0" w:color="auto"/>
            <w:bottom w:val="none" w:sz="0" w:space="0" w:color="auto"/>
            <w:right w:val="none" w:sz="0" w:space="0" w:color="auto"/>
          </w:divBdr>
        </w:div>
        <w:div w:id="159345488">
          <w:marLeft w:val="0"/>
          <w:marRight w:val="0"/>
          <w:marTop w:val="0"/>
          <w:marBottom w:val="0"/>
          <w:divBdr>
            <w:top w:val="none" w:sz="0" w:space="0" w:color="auto"/>
            <w:left w:val="none" w:sz="0" w:space="0" w:color="auto"/>
            <w:bottom w:val="none" w:sz="0" w:space="0" w:color="auto"/>
            <w:right w:val="none" w:sz="0" w:space="0" w:color="auto"/>
          </w:divBdr>
        </w:div>
        <w:div w:id="1093816288">
          <w:marLeft w:val="0"/>
          <w:marRight w:val="0"/>
          <w:marTop w:val="0"/>
          <w:marBottom w:val="0"/>
          <w:divBdr>
            <w:top w:val="none" w:sz="0" w:space="0" w:color="auto"/>
            <w:left w:val="none" w:sz="0" w:space="0" w:color="auto"/>
            <w:bottom w:val="none" w:sz="0" w:space="0" w:color="auto"/>
            <w:right w:val="none" w:sz="0" w:space="0" w:color="auto"/>
          </w:divBdr>
        </w:div>
        <w:div w:id="1488401877">
          <w:marLeft w:val="0"/>
          <w:marRight w:val="0"/>
          <w:marTop w:val="0"/>
          <w:marBottom w:val="0"/>
          <w:divBdr>
            <w:top w:val="none" w:sz="0" w:space="0" w:color="auto"/>
            <w:left w:val="none" w:sz="0" w:space="0" w:color="auto"/>
            <w:bottom w:val="none" w:sz="0" w:space="0" w:color="auto"/>
            <w:right w:val="none" w:sz="0" w:space="0" w:color="auto"/>
          </w:divBdr>
        </w:div>
        <w:div w:id="1335910547">
          <w:marLeft w:val="0"/>
          <w:marRight w:val="0"/>
          <w:marTop w:val="0"/>
          <w:marBottom w:val="0"/>
          <w:divBdr>
            <w:top w:val="none" w:sz="0" w:space="0" w:color="auto"/>
            <w:left w:val="none" w:sz="0" w:space="0" w:color="auto"/>
            <w:bottom w:val="none" w:sz="0" w:space="0" w:color="auto"/>
            <w:right w:val="none" w:sz="0" w:space="0" w:color="auto"/>
          </w:divBdr>
        </w:div>
        <w:div w:id="1109398187">
          <w:marLeft w:val="0"/>
          <w:marRight w:val="0"/>
          <w:marTop w:val="0"/>
          <w:marBottom w:val="0"/>
          <w:divBdr>
            <w:top w:val="none" w:sz="0" w:space="0" w:color="auto"/>
            <w:left w:val="none" w:sz="0" w:space="0" w:color="auto"/>
            <w:bottom w:val="none" w:sz="0" w:space="0" w:color="auto"/>
            <w:right w:val="none" w:sz="0" w:space="0" w:color="auto"/>
          </w:divBdr>
        </w:div>
        <w:div w:id="174270541">
          <w:marLeft w:val="0"/>
          <w:marRight w:val="0"/>
          <w:marTop w:val="0"/>
          <w:marBottom w:val="0"/>
          <w:divBdr>
            <w:top w:val="none" w:sz="0" w:space="0" w:color="auto"/>
            <w:left w:val="none" w:sz="0" w:space="0" w:color="auto"/>
            <w:bottom w:val="none" w:sz="0" w:space="0" w:color="auto"/>
            <w:right w:val="none" w:sz="0" w:space="0" w:color="auto"/>
          </w:divBdr>
        </w:div>
        <w:div w:id="313606998">
          <w:marLeft w:val="0"/>
          <w:marRight w:val="0"/>
          <w:marTop w:val="0"/>
          <w:marBottom w:val="0"/>
          <w:divBdr>
            <w:top w:val="none" w:sz="0" w:space="0" w:color="auto"/>
            <w:left w:val="none" w:sz="0" w:space="0" w:color="auto"/>
            <w:bottom w:val="none" w:sz="0" w:space="0" w:color="auto"/>
            <w:right w:val="none" w:sz="0" w:space="0" w:color="auto"/>
          </w:divBdr>
        </w:div>
        <w:div w:id="429200860">
          <w:marLeft w:val="0"/>
          <w:marRight w:val="0"/>
          <w:marTop w:val="0"/>
          <w:marBottom w:val="0"/>
          <w:divBdr>
            <w:top w:val="none" w:sz="0" w:space="0" w:color="auto"/>
            <w:left w:val="none" w:sz="0" w:space="0" w:color="auto"/>
            <w:bottom w:val="none" w:sz="0" w:space="0" w:color="auto"/>
            <w:right w:val="none" w:sz="0" w:space="0" w:color="auto"/>
          </w:divBdr>
        </w:div>
        <w:div w:id="391466268">
          <w:marLeft w:val="0"/>
          <w:marRight w:val="0"/>
          <w:marTop w:val="0"/>
          <w:marBottom w:val="0"/>
          <w:divBdr>
            <w:top w:val="none" w:sz="0" w:space="0" w:color="auto"/>
            <w:left w:val="none" w:sz="0" w:space="0" w:color="auto"/>
            <w:bottom w:val="none" w:sz="0" w:space="0" w:color="auto"/>
            <w:right w:val="none" w:sz="0" w:space="0" w:color="auto"/>
          </w:divBdr>
        </w:div>
        <w:div w:id="1677148481">
          <w:marLeft w:val="0"/>
          <w:marRight w:val="0"/>
          <w:marTop w:val="0"/>
          <w:marBottom w:val="0"/>
          <w:divBdr>
            <w:top w:val="none" w:sz="0" w:space="0" w:color="auto"/>
            <w:left w:val="none" w:sz="0" w:space="0" w:color="auto"/>
            <w:bottom w:val="none" w:sz="0" w:space="0" w:color="auto"/>
            <w:right w:val="none" w:sz="0" w:space="0" w:color="auto"/>
          </w:divBdr>
        </w:div>
        <w:div w:id="1617567676">
          <w:marLeft w:val="0"/>
          <w:marRight w:val="0"/>
          <w:marTop w:val="0"/>
          <w:marBottom w:val="0"/>
          <w:divBdr>
            <w:top w:val="none" w:sz="0" w:space="0" w:color="auto"/>
            <w:left w:val="none" w:sz="0" w:space="0" w:color="auto"/>
            <w:bottom w:val="none" w:sz="0" w:space="0" w:color="auto"/>
            <w:right w:val="none" w:sz="0" w:space="0" w:color="auto"/>
          </w:divBdr>
        </w:div>
        <w:div w:id="1773889786">
          <w:marLeft w:val="0"/>
          <w:marRight w:val="0"/>
          <w:marTop w:val="0"/>
          <w:marBottom w:val="0"/>
          <w:divBdr>
            <w:top w:val="none" w:sz="0" w:space="0" w:color="auto"/>
            <w:left w:val="none" w:sz="0" w:space="0" w:color="auto"/>
            <w:bottom w:val="none" w:sz="0" w:space="0" w:color="auto"/>
            <w:right w:val="none" w:sz="0" w:space="0" w:color="auto"/>
          </w:divBdr>
        </w:div>
        <w:div w:id="592784765">
          <w:marLeft w:val="0"/>
          <w:marRight w:val="0"/>
          <w:marTop w:val="0"/>
          <w:marBottom w:val="0"/>
          <w:divBdr>
            <w:top w:val="none" w:sz="0" w:space="0" w:color="auto"/>
            <w:left w:val="none" w:sz="0" w:space="0" w:color="auto"/>
            <w:bottom w:val="none" w:sz="0" w:space="0" w:color="auto"/>
            <w:right w:val="none" w:sz="0" w:space="0" w:color="auto"/>
          </w:divBdr>
        </w:div>
        <w:div w:id="5876636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608A4F-CCD2-4E46-ACEB-705FCBC98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19</Pages>
  <Words>7589</Words>
  <Characters>43259</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50747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Нещётная Анастасия Викторовна</dc:creator>
  <cp:keywords/>
  <dc:description/>
  <cp:lastModifiedBy>User</cp:lastModifiedBy>
  <cp:revision>7</cp:revision>
  <dcterms:created xsi:type="dcterms:W3CDTF">2025-06-14T04:35:00Z</dcterms:created>
  <dcterms:modified xsi:type="dcterms:W3CDTF">2025-09-08T02:57:00Z</dcterms:modified>
</cp:coreProperties>
</file>